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72" w:rsidRDefault="00520E72" w:rsidP="00495AB1">
      <w:pPr>
        <w:pStyle w:val="EinfacherAbsatz"/>
        <w:spacing w:line="360" w:lineRule="auto"/>
        <w:ind w:left="567" w:hanging="567"/>
        <w:rPr>
          <w:rFonts w:ascii="MyriadPro-Regular" w:hAnsi="MyriadPro-Regular" w:cs="MyriadPro-Regular"/>
          <w:b/>
          <w:szCs w:val="20"/>
        </w:rPr>
      </w:pPr>
    </w:p>
    <w:p w:rsidR="00520E72" w:rsidRDefault="00520E72" w:rsidP="00586300">
      <w:pPr>
        <w:pStyle w:val="EinfacherAbsatz"/>
        <w:spacing w:line="360" w:lineRule="auto"/>
        <w:ind w:left="567" w:right="838" w:hanging="567"/>
        <w:rPr>
          <w:rFonts w:ascii="MyriadPro-Regular" w:hAnsi="MyriadPro-Regular" w:cs="MyriadPro-Regular"/>
          <w:b/>
          <w:szCs w:val="20"/>
        </w:rPr>
      </w:pPr>
    </w:p>
    <w:p w:rsidR="00BF6899" w:rsidRDefault="00BF6899" w:rsidP="00BF6899">
      <w:pPr>
        <w:pStyle w:val="EinfacherAbsatz"/>
        <w:spacing w:line="360" w:lineRule="auto"/>
        <w:ind w:left="567" w:right="838" w:hanging="567"/>
        <w:jc w:val="center"/>
        <w:rPr>
          <w:rFonts w:ascii="MyriadPro-Regular" w:hAnsi="MyriadPro-Regular" w:cs="MyriadPro-Regular"/>
          <w:b/>
          <w:szCs w:val="20"/>
        </w:rPr>
      </w:pPr>
      <w:r w:rsidRPr="00BF6899">
        <w:rPr>
          <w:rFonts w:ascii="MyriadPro-Regular" w:hAnsi="MyriadPro-Regular" w:cs="MyriadPro-Regular"/>
          <w:b/>
          <w:szCs w:val="20"/>
        </w:rPr>
        <w:t xml:space="preserve">Stellungnahme </w:t>
      </w:r>
      <w:r>
        <w:rPr>
          <w:rFonts w:ascii="MyriadPro-Regular" w:hAnsi="MyriadPro-Regular" w:cs="MyriadPro-Regular"/>
          <w:b/>
          <w:szCs w:val="20"/>
        </w:rPr>
        <w:t xml:space="preserve">des DFH </w:t>
      </w:r>
      <w:r w:rsidRPr="00BF6899">
        <w:rPr>
          <w:rFonts w:ascii="MyriadPro-Regular" w:hAnsi="MyriadPro-Regular" w:cs="MyriadPro-Regular"/>
          <w:b/>
          <w:szCs w:val="20"/>
        </w:rPr>
        <w:t xml:space="preserve">zur </w:t>
      </w:r>
    </w:p>
    <w:p w:rsidR="00BF6899" w:rsidRPr="00BF6899" w:rsidRDefault="00BF6899" w:rsidP="00BF6899">
      <w:pPr>
        <w:pStyle w:val="EinfacherAbsatz"/>
        <w:spacing w:line="360" w:lineRule="auto"/>
        <w:ind w:left="567" w:right="838" w:hanging="567"/>
        <w:jc w:val="center"/>
        <w:rPr>
          <w:rFonts w:ascii="MyriadPro-Regular" w:hAnsi="MyriadPro-Regular" w:cs="MyriadPro-Regular"/>
          <w:b/>
          <w:i/>
          <w:szCs w:val="20"/>
        </w:rPr>
      </w:pPr>
      <w:r w:rsidRPr="00BF6899">
        <w:rPr>
          <w:rFonts w:ascii="MyriadPro-Regular" w:hAnsi="MyriadPro-Regular" w:cs="MyriadPro-Regular"/>
          <w:b/>
          <w:i/>
          <w:szCs w:val="20"/>
        </w:rPr>
        <w:t>Servicestudie Schüleraustauschorganisationen 2019</w:t>
      </w:r>
    </w:p>
    <w:p w:rsidR="00520E72" w:rsidRDefault="00BF6899" w:rsidP="00BF6899">
      <w:pPr>
        <w:pStyle w:val="EinfacherAbsatz"/>
        <w:spacing w:line="360" w:lineRule="auto"/>
        <w:ind w:left="567" w:right="838" w:hanging="567"/>
        <w:jc w:val="center"/>
        <w:rPr>
          <w:rFonts w:ascii="MyriadPro-Regular" w:hAnsi="MyriadPro-Regular" w:cs="MyriadPro-Regular"/>
          <w:b/>
          <w:szCs w:val="20"/>
        </w:rPr>
      </w:pPr>
      <w:r w:rsidRPr="00BF6899">
        <w:rPr>
          <w:rFonts w:ascii="MyriadPro-Regular" w:hAnsi="MyriadPro-Regular" w:cs="MyriadPro-Regular"/>
          <w:b/>
          <w:szCs w:val="20"/>
        </w:rPr>
        <w:t>durch das DISQ</w:t>
      </w:r>
    </w:p>
    <w:p w:rsidR="00BF6899" w:rsidRDefault="00BF6899" w:rsidP="00586300">
      <w:pPr>
        <w:pStyle w:val="EinfacherAbsatz"/>
        <w:spacing w:line="360" w:lineRule="auto"/>
        <w:ind w:left="567" w:right="838" w:hanging="567"/>
        <w:rPr>
          <w:rFonts w:ascii="MyriadPro-Regular" w:hAnsi="MyriadPro-Regular" w:cs="MyriadPro-Regular"/>
          <w:b/>
          <w:sz w:val="22"/>
          <w:szCs w:val="20"/>
        </w:rPr>
      </w:pPr>
    </w:p>
    <w:p w:rsidR="00520E72" w:rsidRPr="00586300" w:rsidRDefault="00520E72" w:rsidP="00586300">
      <w:pPr>
        <w:pStyle w:val="EinfacherAbsatz"/>
        <w:spacing w:line="360" w:lineRule="auto"/>
        <w:ind w:left="567" w:right="838" w:hanging="567"/>
        <w:rPr>
          <w:rFonts w:ascii="MyriadPro-Regular" w:hAnsi="MyriadPro-Regular" w:cs="MyriadPro-Regular"/>
          <w:b/>
          <w:sz w:val="22"/>
          <w:szCs w:val="20"/>
        </w:rPr>
      </w:pPr>
      <w:r w:rsidRPr="00586300">
        <w:rPr>
          <w:rFonts w:ascii="MyriadPro-Regular" w:hAnsi="MyriadPro-Regular" w:cs="MyriadPro-Regular"/>
          <w:b/>
          <w:sz w:val="22"/>
          <w:szCs w:val="20"/>
        </w:rPr>
        <w:t>Schüleraustausch-Org</w:t>
      </w:r>
      <w:bookmarkStart w:id="0" w:name="_GoBack"/>
      <w:bookmarkEnd w:id="0"/>
      <w:r w:rsidRPr="00586300">
        <w:rPr>
          <w:rFonts w:ascii="MyriadPro-Regular" w:hAnsi="MyriadPro-Regular" w:cs="MyriadPro-Regular"/>
          <w:b/>
          <w:sz w:val="22"/>
          <w:szCs w:val="20"/>
        </w:rPr>
        <w:t>anisationen überzeugen bei Service</w:t>
      </w:r>
      <w:r w:rsidR="00186DE2" w:rsidRPr="00586300">
        <w:rPr>
          <w:rFonts w:ascii="MyriadPro-Regular" w:hAnsi="MyriadPro-Regular" w:cs="MyriadPro-Regular"/>
          <w:b/>
          <w:sz w:val="22"/>
          <w:szCs w:val="20"/>
        </w:rPr>
        <w:t xml:space="preserve"> . . .</w:t>
      </w: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Ein</w:t>
      </w:r>
      <w:r w:rsidR="00F917F7">
        <w:rPr>
          <w:rFonts w:ascii="MyriadPro-Regular" w:hAnsi="MyriadPro-Regular" w:cs="MyriadPro-Regular"/>
          <w:sz w:val="20"/>
          <w:szCs w:val="18"/>
        </w:rPr>
        <w:t xml:space="preserve"> </w:t>
      </w:r>
      <w:r w:rsidRPr="00520E72">
        <w:rPr>
          <w:rFonts w:ascii="MyriadPro-Regular" w:hAnsi="MyriadPro-Regular" w:cs="MyriadPro-Regular"/>
          <w:sz w:val="20"/>
          <w:szCs w:val="18"/>
        </w:rPr>
        <w:t>positives Fazit zieht das Deutsche Institut für Servicequalität (DISQ) in einer im Septembe</w:t>
      </w:r>
      <w:r w:rsidR="00FA2ECD">
        <w:rPr>
          <w:rFonts w:ascii="MyriadPro-Regular" w:hAnsi="MyriadPro-Regular" w:cs="MyriadPro-Regular"/>
          <w:sz w:val="20"/>
          <w:szCs w:val="18"/>
        </w:rPr>
        <w:t>r 2019 veröffentlichten Studie:</w:t>
      </w:r>
      <w:r w:rsidRPr="00520E72">
        <w:rPr>
          <w:rFonts w:ascii="MyriadPro-Regular" w:hAnsi="MyriadPro-Regular" w:cs="MyriadPro-Regular"/>
          <w:sz w:val="20"/>
          <w:szCs w:val="18"/>
        </w:rPr>
        <w:t xml:space="preserve"> „Sowohl die gemeinnützigen als auch die kommerziellen Schüleraustausch-Organisationen bieten insgesamt einen Service auf hohem Niveau . . . Die nutzerfreundlich gestalteten Internetauftritte der Organisationen bieten nicht nur Hinweise zu Teilnahmevoraussetzungen und zur Betreuung vor Ort, sondern hier finden sich in der Regel umfassende Informationen rund ums Thema Schüleraustausch.”</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 xml:space="preserve">Allerdings sind solche von privatwirtschaftlichen Instituten durchgeführten „Wettbewerbsanalysen“ meist auf wenige Einzelaspekte der Veranstalterleistungen im Inland fokussiert, z.B. anhand von </w:t>
      </w:r>
      <w:r w:rsidR="008C3EB6">
        <w:rPr>
          <w:rFonts w:ascii="MyriadPro-Regular" w:hAnsi="MyriadPro-Regular" w:cs="MyriadPro-Regular"/>
          <w:sz w:val="20"/>
          <w:szCs w:val="18"/>
        </w:rPr>
        <w:t xml:space="preserve">jeweils </w:t>
      </w:r>
      <w:r w:rsidRPr="00520E72">
        <w:rPr>
          <w:rFonts w:ascii="MyriadPro-Regular" w:hAnsi="MyriadPro-Regular" w:cs="MyriadPro-Regular"/>
          <w:sz w:val="20"/>
          <w:szCs w:val="18"/>
        </w:rPr>
        <w:t xml:space="preserve">10 (in Worten: zehn) vorgetäuschten Kundenanfragen per Telefon- und </w:t>
      </w:r>
      <w:proofErr w:type="spellStart"/>
      <w:r w:rsidRPr="00520E72">
        <w:rPr>
          <w:rFonts w:ascii="MyriadPro-Regular" w:hAnsi="MyriadPro-Regular" w:cs="MyriadPro-Regular"/>
          <w:sz w:val="20"/>
          <w:szCs w:val="18"/>
        </w:rPr>
        <w:t>E</w:t>
      </w:r>
      <w:r w:rsidR="008C3EB6">
        <w:rPr>
          <w:rFonts w:ascii="MyriadPro-Regular" w:hAnsi="MyriadPro-Regular" w:cs="MyriadPro-Regular"/>
          <w:sz w:val="20"/>
          <w:szCs w:val="18"/>
        </w:rPr>
        <w:t>-</w:t>
      </w:r>
      <w:r w:rsidRPr="00520E72">
        <w:rPr>
          <w:rFonts w:ascii="MyriadPro-Regular" w:hAnsi="MyriadPro-Regular" w:cs="MyriadPro-Regular"/>
          <w:sz w:val="20"/>
          <w:szCs w:val="18"/>
        </w:rPr>
        <w:t>mail</w:t>
      </w:r>
      <w:proofErr w:type="spellEnd"/>
      <w:r w:rsidRPr="00520E72">
        <w:rPr>
          <w:rFonts w:ascii="MyriadPro-Regular" w:hAnsi="MyriadPro-Regular" w:cs="MyriadPro-Regular"/>
          <w:sz w:val="20"/>
          <w:szCs w:val="18"/>
        </w:rPr>
        <w:t xml:space="preserve"> (</w:t>
      </w:r>
      <w:proofErr w:type="spellStart"/>
      <w:r w:rsidRPr="00520E72">
        <w:rPr>
          <w:rFonts w:ascii="MyriadPro-Regular" w:hAnsi="MyriadPro-Regular" w:cs="MyriadPro-Regular"/>
          <w:sz w:val="20"/>
          <w:szCs w:val="18"/>
        </w:rPr>
        <w:t>Mystery</w:t>
      </w:r>
      <w:proofErr w:type="spellEnd"/>
      <w:r w:rsidRPr="00520E72">
        <w:rPr>
          <w:rFonts w:ascii="MyriadPro-Regular" w:hAnsi="MyriadPro-Regular" w:cs="MyriadPro-Regular"/>
          <w:sz w:val="20"/>
          <w:szCs w:val="18"/>
        </w:rPr>
        <w:t xml:space="preserve"> Tests) zur Ermittlung der „Servicequalität“ und </w:t>
      </w:r>
      <w:r w:rsidR="008C3EB6">
        <w:rPr>
          <w:rFonts w:ascii="MyriadPro-Regular" w:hAnsi="MyriadPro-Regular" w:cs="MyriadPro-Regular"/>
          <w:sz w:val="20"/>
          <w:szCs w:val="18"/>
        </w:rPr>
        <w:t xml:space="preserve">Prüfung der Internetauftritte. </w:t>
      </w:r>
      <w:r w:rsidRPr="00520E72">
        <w:rPr>
          <w:rFonts w:ascii="MyriadPro-Regular" w:hAnsi="MyriadPro-Regular" w:cs="MyriadPro-Regular"/>
          <w:sz w:val="20"/>
          <w:szCs w:val="18"/>
        </w:rPr>
        <w:t>Er</w:t>
      </w:r>
      <w:r w:rsidR="008C3EB6">
        <w:rPr>
          <w:rFonts w:ascii="MyriadPro-Regular" w:hAnsi="MyriadPro-Regular" w:cs="MyriadPro-Regular"/>
          <w:sz w:val="20"/>
          <w:szCs w:val="18"/>
        </w:rPr>
        <w:t>freulicherweise gilt auch hier:</w:t>
      </w:r>
      <w:r w:rsidRPr="00520E72">
        <w:rPr>
          <w:rFonts w:ascii="MyriadPro-Regular" w:hAnsi="MyriadPro-Regular" w:cs="MyriadPro-Regular"/>
          <w:sz w:val="20"/>
          <w:szCs w:val="18"/>
        </w:rPr>
        <w:t xml:space="preserve"> „Die Beratungen am Telefon wie auch per </w:t>
      </w:r>
      <w:proofErr w:type="spellStart"/>
      <w:r w:rsidRPr="00520E72">
        <w:rPr>
          <w:rFonts w:ascii="MyriadPro-Regular" w:hAnsi="MyriadPro-Regular" w:cs="MyriadPro-Regular"/>
          <w:sz w:val="20"/>
          <w:szCs w:val="18"/>
        </w:rPr>
        <w:t>E</w:t>
      </w:r>
      <w:r w:rsidR="008C3EB6">
        <w:rPr>
          <w:rFonts w:ascii="MyriadPro-Regular" w:hAnsi="MyriadPro-Regular" w:cs="MyriadPro-Regular"/>
          <w:sz w:val="20"/>
          <w:szCs w:val="18"/>
        </w:rPr>
        <w:t>-</w:t>
      </w:r>
      <w:r w:rsidRPr="00520E72">
        <w:rPr>
          <w:rFonts w:ascii="MyriadPro-Regular" w:hAnsi="MyriadPro-Regular" w:cs="MyriadPro-Regular"/>
          <w:sz w:val="20"/>
          <w:szCs w:val="18"/>
        </w:rPr>
        <w:t>mail</w:t>
      </w:r>
      <w:proofErr w:type="spellEnd"/>
      <w:r w:rsidRPr="00520E72">
        <w:rPr>
          <w:rFonts w:ascii="MyriadPro-Regular" w:hAnsi="MyriadPro-Regular" w:cs="MyriadPro-Regular"/>
          <w:sz w:val="20"/>
          <w:szCs w:val="18"/>
        </w:rPr>
        <w:t xml:space="preserve"> zeichnen sich durch die Kompetenz der Mitarbeiter aus, die fachlich ausnahmslos korrekte Antworten geben. Dabei gehen die Berater freundlich und souverän auf die Anliegen der Interessenten ein und erteilen gut verständliche Auskünfte.“</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Gleiches gilt für die Internetauftritte: „Bereits online finden interessierte Eltern und Schüler mehr als nur Basisinformationen. Bei konkreten Fragen lohnt aber auch häufig der Kontakt per Telefon oder E-Mail. Die Auskünfte fallen hier fachkundig und verständlich aus.“</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p>
    <w:p w:rsidR="002B1A75" w:rsidRDefault="002B1A75" w:rsidP="00586300">
      <w:pPr>
        <w:pStyle w:val="EinfacherAbsatz"/>
        <w:spacing w:line="360" w:lineRule="auto"/>
        <w:rPr>
          <w:rFonts w:ascii="MyriadPro-Regular" w:hAnsi="MyriadPro-Regular" w:cs="MyriadPro-Regular"/>
          <w:sz w:val="20"/>
          <w:szCs w:val="18"/>
        </w:rPr>
      </w:pPr>
    </w:p>
    <w:p w:rsidR="00186DE2" w:rsidRPr="00586300" w:rsidRDefault="00186DE2" w:rsidP="00586300">
      <w:pPr>
        <w:pStyle w:val="EinfacherAbsatz"/>
        <w:spacing w:line="360" w:lineRule="auto"/>
        <w:ind w:left="567" w:right="838" w:hanging="567"/>
        <w:rPr>
          <w:rFonts w:ascii="MyriadPro-Regular" w:hAnsi="MyriadPro-Regular" w:cs="MyriadPro-Regular"/>
          <w:b/>
          <w:sz w:val="22"/>
          <w:szCs w:val="20"/>
        </w:rPr>
      </w:pPr>
      <w:r w:rsidRPr="00586300">
        <w:rPr>
          <w:rFonts w:ascii="MyriadPro-Regular" w:hAnsi="MyriadPro-Regular" w:cs="MyriadPro-Regular"/>
          <w:b/>
          <w:sz w:val="22"/>
          <w:szCs w:val="20"/>
        </w:rPr>
        <w:t>. . . aber bitte keine irreführende Werbung</w:t>
      </w:r>
    </w:p>
    <w:p w:rsidR="00186DE2" w:rsidRPr="00520E72" w:rsidRDefault="00186DE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 xml:space="preserve">Trotz dieser positiven Aussagen sieht der Deutsche Fachverband High School (DFH) solche externen Studien kritisch, da sie mit ihrem </w:t>
      </w:r>
      <w:proofErr w:type="spellStart"/>
      <w:r w:rsidRPr="00520E72">
        <w:rPr>
          <w:rFonts w:ascii="MyriadPro-Regular" w:hAnsi="MyriadPro-Regular" w:cs="MyriadPro-Regular"/>
          <w:sz w:val="20"/>
          <w:szCs w:val="18"/>
        </w:rPr>
        <w:t>ausschnitthaften</w:t>
      </w:r>
      <w:proofErr w:type="spellEnd"/>
      <w:r w:rsidRPr="00520E72">
        <w:rPr>
          <w:rFonts w:ascii="MyriadPro-Regular" w:hAnsi="MyriadPro-Regular" w:cs="MyriadPro-Regular"/>
          <w:sz w:val="20"/>
          <w:szCs w:val="18"/>
        </w:rPr>
        <w:t xml:space="preserve"> Zugang die komplexe und langfristig angelegte Realität der Angebote </w:t>
      </w:r>
      <w:r w:rsidR="008C3EB6">
        <w:rPr>
          <w:rFonts w:ascii="MyriadPro-Regular" w:hAnsi="MyriadPro-Regular" w:cs="MyriadPro-Regular"/>
          <w:sz w:val="20"/>
          <w:szCs w:val="18"/>
        </w:rPr>
        <w:t>und</w:t>
      </w:r>
      <w:r w:rsidRPr="00520E72">
        <w:rPr>
          <w:rFonts w:ascii="MyriadPro-Regular" w:hAnsi="MyriadPro-Regular" w:cs="MyriadPro-Regular"/>
          <w:sz w:val="20"/>
          <w:szCs w:val="18"/>
        </w:rPr>
        <w:t xml:space="preserve"> Veranstalter verfehlen. Deren wirkliche Qualität erstreckt sich von sorgfältigen Bewerbungsgesprächen und Vorbereitung</w:t>
      </w:r>
      <w:r w:rsidR="008C3EB6">
        <w:rPr>
          <w:rFonts w:ascii="MyriadPro-Regular" w:hAnsi="MyriadPro-Regular" w:cs="MyriadPro-Regular"/>
          <w:sz w:val="20"/>
          <w:szCs w:val="18"/>
        </w:rPr>
        <w:t>s</w:t>
      </w:r>
      <w:r w:rsidRPr="00520E72">
        <w:rPr>
          <w:rFonts w:ascii="MyriadPro-Regular" w:hAnsi="MyriadPro-Regular" w:cs="MyriadPro-Regular"/>
          <w:sz w:val="20"/>
          <w:szCs w:val="18"/>
        </w:rPr>
        <w:t>seminaren über die korrekte Auswahl der ausländischen Schulen und Partnerorganisationen bis zur Flugorganisation und der u</w:t>
      </w:r>
      <w:r w:rsidR="008C3EB6">
        <w:rPr>
          <w:rFonts w:ascii="MyriadPro-Regular" w:hAnsi="MyriadPro-Regular" w:cs="MyriadPro-Regular"/>
          <w:sz w:val="20"/>
          <w:szCs w:val="18"/>
        </w:rPr>
        <w:t xml:space="preserve">mfänglichen </w:t>
      </w:r>
      <w:r w:rsidRPr="00520E72">
        <w:rPr>
          <w:rFonts w:ascii="MyriadPro-Regular" w:hAnsi="MyriadPro-Regular" w:cs="MyriadPro-Regular"/>
          <w:sz w:val="20"/>
          <w:szCs w:val="18"/>
        </w:rPr>
        <w:t>persönlichen Beratung und Betreuung von Schülern und Eltern vor und während des Aufenthalts.</w:t>
      </w:r>
    </w:p>
    <w:p w:rsidR="00186DE2" w:rsidRDefault="00186DE2" w:rsidP="00586300">
      <w:pPr>
        <w:widowControl w:val="0"/>
        <w:autoSpaceDE w:val="0"/>
        <w:autoSpaceDN w:val="0"/>
        <w:adjustRightInd w:val="0"/>
        <w:spacing w:before="0" w:line="360" w:lineRule="auto"/>
        <w:textAlignment w:val="center"/>
        <w:rPr>
          <w:rFonts w:ascii="Myriad Pro" w:hAnsi="Myriad Pro" w:cs="Myriad-Roman"/>
          <w:color w:val="000000"/>
          <w:sz w:val="20"/>
          <w:szCs w:val="24"/>
        </w:rPr>
      </w:pPr>
    </w:p>
    <w:p w:rsidR="00495AB1" w:rsidRDefault="002B1A75" w:rsidP="00586300">
      <w:pPr>
        <w:widowControl w:val="0"/>
        <w:autoSpaceDE w:val="0"/>
        <w:autoSpaceDN w:val="0"/>
        <w:adjustRightInd w:val="0"/>
        <w:spacing w:before="0" w:line="360" w:lineRule="auto"/>
        <w:textAlignment w:val="center"/>
        <w:rPr>
          <w:rFonts w:ascii="Myriad Pro" w:hAnsi="Myriad Pro" w:cs="Myriad-Roman"/>
          <w:color w:val="000000"/>
          <w:sz w:val="20"/>
          <w:szCs w:val="24"/>
        </w:rPr>
      </w:pPr>
      <w:r w:rsidRPr="00F942D8">
        <w:rPr>
          <w:rFonts w:ascii="MyriadPro-Regular" w:hAnsi="MyriadPro-Regular" w:cs="MyriadPro-Regular"/>
          <w:color w:val="000000"/>
          <w:sz w:val="20"/>
          <w:szCs w:val="18"/>
        </w:rPr>
        <w:t>Dass die Studien diese entscheidenden inhaltlichen Aspekte nicht einmal ansatzweise in den Blick nehmen, wird erst bei näherem Hinsehen deutlich:  journalistisch und rhetorisch geschickt formulierte Zusammenfassungen erwecken gegenüber dem Verbraucher den Eindruck, die Studienresultate erlaubten eine allgemeine Aussage zu den Kernbereichen und zur Gesamtquali</w:t>
      </w:r>
      <w:r w:rsidR="008C3EB6" w:rsidRPr="00F942D8">
        <w:rPr>
          <w:rFonts w:ascii="MyriadPro-Regular" w:hAnsi="MyriadPro-Regular" w:cs="MyriadPro-Regular"/>
          <w:color w:val="000000"/>
          <w:sz w:val="20"/>
          <w:szCs w:val="18"/>
        </w:rPr>
        <w:t>t</w:t>
      </w:r>
      <w:r w:rsidRPr="00F942D8">
        <w:rPr>
          <w:rFonts w:ascii="MyriadPro-Regular" w:hAnsi="MyriadPro-Regular" w:cs="MyriadPro-Regular"/>
          <w:color w:val="000000"/>
          <w:sz w:val="20"/>
          <w:szCs w:val="18"/>
        </w:rPr>
        <w:t>ät einer Organisation. Genau deshalb spricht</w:t>
      </w:r>
      <w:r w:rsidR="008C3EB6" w:rsidRPr="00F942D8">
        <w:rPr>
          <w:rFonts w:ascii="MyriadPro-Regular" w:hAnsi="MyriadPro-Regular" w:cs="MyriadPro-Regular"/>
          <w:color w:val="000000"/>
          <w:sz w:val="20"/>
          <w:szCs w:val="18"/>
        </w:rPr>
        <w:t xml:space="preserve"> das</w:t>
      </w:r>
      <w:r w:rsidRPr="00F942D8">
        <w:rPr>
          <w:rFonts w:ascii="MyriadPro-Regular" w:hAnsi="MyriadPro-Regular" w:cs="MyriadPro-Regular"/>
          <w:color w:val="000000"/>
          <w:sz w:val="20"/>
          <w:szCs w:val="18"/>
        </w:rPr>
        <w:t xml:space="preserve"> Brandenburgische Oberlandesgericht von Irreführender Werbung mit Testurteil</w:t>
      </w:r>
      <w:r w:rsidR="00586300" w:rsidRPr="00F942D8">
        <w:rPr>
          <w:rFonts w:ascii="MyriadPro-Regular" w:hAnsi="MyriadPro-Regular" w:cs="MyriadPro-Regular"/>
          <w:color w:val="000000"/>
          <w:sz w:val="20"/>
          <w:szCs w:val="18"/>
        </w:rPr>
        <w:t>, wenn auf der</w:t>
      </w:r>
      <w:r w:rsidR="008C3EB6" w:rsidRPr="00F942D8">
        <w:rPr>
          <w:rFonts w:ascii="MyriadPro-Regular" w:hAnsi="MyriadPro-Regular" w:cs="MyriadPro-Regular"/>
          <w:color w:val="000000"/>
          <w:sz w:val="20"/>
          <w:szCs w:val="18"/>
        </w:rPr>
        <w:t xml:space="preserve"> Basis einer Untersuchung durch das DISQ </w:t>
      </w:r>
      <w:r w:rsidR="00586300" w:rsidRPr="00F942D8">
        <w:rPr>
          <w:rFonts w:ascii="MyriadPro-Regular" w:hAnsi="MyriadPro-Regular" w:cs="MyriadPro-Regular"/>
          <w:color w:val="000000"/>
          <w:sz w:val="20"/>
          <w:szCs w:val="18"/>
        </w:rPr>
        <w:t>Werbeau</w:t>
      </w:r>
      <w:r w:rsidR="008C3EB6" w:rsidRPr="00F942D8">
        <w:rPr>
          <w:rFonts w:ascii="MyriadPro-Regular" w:hAnsi="MyriadPro-Regular" w:cs="MyriadPro-Regular"/>
          <w:color w:val="000000"/>
          <w:sz w:val="20"/>
          <w:szCs w:val="18"/>
        </w:rPr>
        <w:t xml:space="preserve">ssagen wie – in diesem Fall – </w:t>
      </w:r>
      <w:r w:rsidR="00586300" w:rsidRPr="00F942D8">
        <w:rPr>
          <w:rFonts w:ascii="MyriadPro-Regular" w:hAnsi="MyriadPro-Regular" w:cs="MyriadPro-Regular"/>
          <w:color w:val="000000"/>
          <w:sz w:val="20"/>
          <w:szCs w:val="18"/>
        </w:rPr>
        <w:t>„Bestes Möbelhaus”  gemacht werden. Das</w:t>
      </w:r>
      <w:r w:rsidRPr="00F942D8">
        <w:rPr>
          <w:rFonts w:ascii="MyriadPro-Regular" w:hAnsi="MyriadPro-Regular" w:cs="MyriadPro-Regular"/>
          <w:color w:val="000000"/>
          <w:sz w:val="20"/>
          <w:szCs w:val="18"/>
        </w:rPr>
        <w:t xml:space="preserve"> Urteil von 2012</w:t>
      </w:r>
      <w:r w:rsidR="00586300" w:rsidRPr="00F942D8">
        <w:rPr>
          <w:rFonts w:ascii="MyriadPro-Regular" w:hAnsi="MyriadPro-Regular" w:cs="MyriadPro-Regular"/>
          <w:color w:val="000000"/>
          <w:sz w:val="20"/>
          <w:szCs w:val="18"/>
        </w:rPr>
        <w:t xml:space="preserve"> untersagt </w:t>
      </w:r>
      <w:r w:rsidRPr="00F942D8">
        <w:rPr>
          <w:rFonts w:ascii="MyriadPro-Regular" w:hAnsi="MyriadPro-Regular" w:cs="MyriadPro-Regular"/>
          <w:color w:val="000000"/>
          <w:sz w:val="20"/>
          <w:szCs w:val="18"/>
        </w:rPr>
        <w:t>einem Möbelhaus eine Werbung mit solchen Testresultaten und die Ver</w:t>
      </w:r>
      <w:r w:rsidR="00186DE2" w:rsidRPr="00F942D8">
        <w:rPr>
          <w:rFonts w:ascii="MyriadPro-Regular" w:hAnsi="MyriadPro-Regular" w:cs="MyriadPro-Regular"/>
          <w:color w:val="000000"/>
          <w:sz w:val="20"/>
          <w:szCs w:val="18"/>
        </w:rPr>
        <w:t>w</w:t>
      </w:r>
      <w:r w:rsidRPr="00F942D8">
        <w:rPr>
          <w:rFonts w:ascii="MyriadPro-Regular" w:hAnsi="MyriadPro-Regular" w:cs="MyriadPro-Regular"/>
          <w:color w:val="000000"/>
          <w:sz w:val="20"/>
          <w:szCs w:val="18"/>
        </w:rPr>
        <w:t xml:space="preserve">endung entsprechender Siegel und </w:t>
      </w:r>
      <w:r w:rsidR="00586300" w:rsidRPr="00F942D8">
        <w:rPr>
          <w:rFonts w:ascii="MyriadPro-Regular" w:hAnsi="MyriadPro-Regular" w:cs="MyriadPro-Regular"/>
          <w:color w:val="000000"/>
          <w:sz w:val="20"/>
          <w:szCs w:val="18"/>
        </w:rPr>
        <w:t xml:space="preserve">unterzieht </w:t>
      </w:r>
      <w:r w:rsidR="008C3EB6" w:rsidRPr="00F942D8">
        <w:rPr>
          <w:rFonts w:ascii="MyriadPro-Regular" w:hAnsi="MyriadPro-Regular" w:cs="MyriadPro-Regular"/>
          <w:color w:val="000000"/>
          <w:sz w:val="20"/>
          <w:szCs w:val="18"/>
        </w:rPr>
        <w:t xml:space="preserve">die </w:t>
      </w:r>
      <w:r w:rsidRPr="00F942D8">
        <w:rPr>
          <w:rFonts w:ascii="MyriadPro-Regular" w:hAnsi="MyriadPro-Regular" w:cs="MyriadPro-Regular"/>
          <w:color w:val="000000"/>
          <w:sz w:val="20"/>
          <w:szCs w:val="18"/>
        </w:rPr>
        <w:t>Methoden</w:t>
      </w:r>
      <w:r w:rsidR="008C3EB6" w:rsidRPr="00F942D8">
        <w:rPr>
          <w:rFonts w:ascii="MyriadPro-Regular" w:hAnsi="MyriadPro-Regular" w:cs="MyriadPro-Regular"/>
          <w:color w:val="000000"/>
          <w:sz w:val="20"/>
          <w:szCs w:val="18"/>
        </w:rPr>
        <w:t xml:space="preserve"> des DISQ</w:t>
      </w:r>
      <w:r w:rsidRPr="00F942D8">
        <w:rPr>
          <w:rFonts w:ascii="MyriadPro-Regular" w:hAnsi="MyriadPro-Regular" w:cs="MyriadPro-Regular"/>
          <w:color w:val="000000"/>
          <w:sz w:val="20"/>
          <w:szCs w:val="18"/>
        </w:rPr>
        <w:t xml:space="preserve"> einer ausführlichen Kritik</w:t>
      </w:r>
      <w:r w:rsidRPr="002B1A75">
        <w:rPr>
          <w:rFonts w:ascii="Myriad Pro" w:hAnsi="Myriad Pro" w:cs="Myriad-Roman"/>
          <w:color w:val="000000"/>
          <w:sz w:val="20"/>
          <w:szCs w:val="24"/>
        </w:rPr>
        <w:t xml:space="preserve"> (</w:t>
      </w:r>
      <w:hyperlink r:id="rId5" w:history="1">
        <w:r w:rsidR="00495AB1" w:rsidRPr="003B5CEA">
          <w:rPr>
            <w:rStyle w:val="Link"/>
            <w:rFonts w:ascii="Myriad Pro" w:hAnsi="Myriad Pro" w:cs="Myriad-Roman"/>
            <w:sz w:val="20"/>
            <w:szCs w:val="24"/>
          </w:rPr>
          <w:t>https://www.vzbv.de/urteil/irrefuehrende-werbung-mit-testurteil-bestes-moebelhaus</w:t>
        </w:r>
      </w:hyperlink>
      <w:r w:rsidRPr="002B1A75">
        <w:rPr>
          <w:rFonts w:ascii="Myriad Pro" w:hAnsi="Myriad Pro" w:cs="Myriad-Roman"/>
          <w:color w:val="000000"/>
          <w:sz w:val="20"/>
          <w:szCs w:val="24"/>
        </w:rPr>
        <w:t>).</w:t>
      </w:r>
    </w:p>
    <w:p w:rsidR="00495AB1" w:rsidRDefault="00495AB1" w:rsidP="00495AB1">
      <w:pPr>
        <w:pStyle w:val="text"/>
        <w:spacing w:line="360" w:lineRule="auto"/>
        <w:rPr>
          <w:sz w:val="20"/>
        </w:rPr>
      </w:pPr>
    </w:p>
    <w:p w:rsidR="00495AB1" w:rsidRPr="00495AB1" w:rsidRDefault="00495AB1" w:rsidP="00495AB1">
      <w:pPr>
        <w:pStyle w:val="EinfacherAbsatz"/>
        <w:spacing w:line="360" w:lineRule="auto"/>
        <w:ind w:left="567" w:right="838" w:hanging="567"/>
        <w:rPr>
          <w:rFonts w:ascii="MyriadPro-Regular" w:hAnsi="MyriadPro-Regular" w:cs="MyriadPro-Regular"/>
          <w:b/>
          <w:sz w:val="20"/>
          <w:szCs w:val="20"/>
        </w:rPr>
      </w:pPr>
      <w:r>
        <w:rPr>
          <w:rFonts w:ascii="MyriadPro-Regular" w:hAnsi="MyriadPro-Regular" w:cs="MyriadPro-Regular"/>
          <w:b/>
          <w:sz w:val="20"/>
          <w:szCs w:val="20"/>
        </w:rPr>
        <w:t>Wie belastbar ist die m</w:t>
      </w:r>
      <w:r w:rsidRPr="00495AB1">
        <w:rPr>
          <w:rFonts w:ascii="MyriadPro-Regular" w:hAnsi="MyriadPro-Regular" w:cs="MyriadPro-Regular"/>
          <w:b/>
          <w:sz w:val="20"/>
          <w:szCs w:val="20"/>
        </w:rPr>
        <w:t xml:space="preserve">ethodische </w:t>
      </w:r>
      <w:r>
        <w:rPr>
          <w:rFonts w:ascii="MyriadPro-Regular" w:hAnsi="MyriadPro-Regular" w:cs="MyriadPro-Regular"/>
          <w:b/>
          <w:sz w:val="20"/>
          <w:szCs w:val="20"/>
        </w:rPr>
        <w:t>Basis?</w:t>
      </w:r>
    </w:p>
    <w:p w:rsidR="00520E72" w:rsidRDefault="00520E72" w:rsidP="00495AB1">
      <w:pPr>
        <w:pStyle w:val="text"/>
        <w:spacing w:line="360" w:lineRule="auto"/>
        <w:rPr>
          <w:sz w:val="20"/>
        </w:rPr>
      </w:pPr>
      <w:r w:rsidRPr="00520E72">
        <w:rPr>
          <w:sz w:val="20"/>
        </w:rPr>
        <w:t xml:space="preserve">Inwieweit diese Beschränkung auf einen relativ engen Teilbereich der Gesamtleistungen der Organisationen sinnvolle Aussagen ermöglicht, ist zumindest nicht eindeutig belegbar: So </w:t>
      </w:r>
      <w:r w:rsidR="008C3EB6">
        <w:rPr>
          <w:sz w:val="20"/>
        </w:rPr>
        <w:t xml:space="preserve">reichen dem Institut jeweils zehn </w:t>
      </w:r>
      <w:r w:rsidRPr="00520E72">
        <w:rPr>
          <w:sz w:val="20"/>
        </w:rPr>
        <w:t xml:space="preserve">verdeckte </w:t>
      </w:r>
      <w:r w:rsidR="008C3EB6">
        <w:rPr>
          <w:sz w:val="20"/>
        </w:rPr>
        <w:t>E-Mail- und Tele</w:t>
      </w:r>
      <w:r w:rsidRPr="00520E72">
        <w:rPr>
          <w:sz w:val="20"/>
        </w:rPr>
        <w:t>fonkontakte pro Organisation für den eigenen Anspruch auf „objektive und aktuelle Marktforschungsmethodik”. Darüber hinaus wird nur noch der Internetauftritt als Service-Kriterium genannt, wobei dieser mit einer Gewichtung von 50% in die Beurteilung eingeht, was sicherlich professionelle Webdesigner freut, aber für die essentiell wichtige tägliche persönliche Beratung und Betreuung von Schülern und Eltern keine direkte Aussagekraft hat.</w:t>
      </w:r>
    </w:p>
    <w:p w:rsidR="00520E72" w:rsidRPr="00520E72" w:rsidRDefault="00520E72" w:rsidP="00586300">
      <w:pPr>
        <w:pStyle w:val="text"/>
        <w:spacing w:line="360" w:lineRule="auto"/>
        <w:rPr>
          <w:sz w:val="20"/>
        </w:rPr>
      </w:pPr>
    </w:p>
    <w:p w:rsidR="00186DE2" w:rsidRPr="00544BA3" w:rsidRDefault="00520E72" w:rsidP="00586300">
      <w:pPr>
        <w:pStyle w:val="text"/>
        <w:spacing w:line="360" w:lineRule="auto"/>
        <w:rPr>
          <w:sz w:val="20"/>
        </w:rPr>
      </w:pPr>
      <w:r w:rsidRPr="00544BA3">
        <w:rPr>
          <w:sz w:val="20"/>
        </w:rPr>
        <w:t xml:space="preserve">Ferner wird von der Studie selbst </w:t>
      </w:r>
      <w:r w:rsidR="002B1A75" w:rsidRPr="00544BA3">
        <w:rPr>
          <w:sz w:val="20"/>
        </w:rPr>
        <w:t xml:space="preserve">nicht </w:t>
      </w:r>
      <w:r w:rsidRPr="00544BA3">
        <w:rPr>
          <w:sz w:val="20"/>
        </w:rPr>
        <w:t>dargelegt, inwieweit die verdeckten Serviceermittler über ausreichende eigene Sachkenntnisse zur komplexen Realität des Schüleraustauschs verfügen, um auf dieser Basis die inhaltliche Kompetenz der Antworten beurteilen zu können.</w:t>
      </w:r>
      <w:r w:rsidR="00544BA3" w:rsidRPr="00544BA3">
        <w:rPr>
          <w:sz w:val="20"/>
        </w:rPr>
        <w:t xml:space="preserve"> </w:t>
      </w:r>
      <w:r w:rsidR="0045156E">
        <w:rPr>
          <w:sz w:val="20"/>
        </w:rPr>
        <w:t xml:space="preserve">Genau auf diesen Mangel weist auch der Bundesverband der </w:t>
      </w:r>
      <w:r w:rsidR="00DF42F9">
        <w:rPr>
          <w:sz w:val="20"/>
        </w:rPr>
        <w:t>Verbraucherzentralen</w:t>
      </w:r>
      <w:r w:rsidR="00F917F7">
        <w:rPr>
          <w:sz w:val="20"/>
        </w:rPr>
        <w:t xml:space="preserve"> in seinem Kommentar zum Gerichtsurteil </w:t>
      </w:r>
      <w:r w:rsidR="00DF42F9">
        <w:rPr>
          <w:sz w:val="20"/>
        </w:rPr>
        <w:t>hin: „</w:t>
      </w:r>
      <w:r w:rsidR="00544BA3" w:rsidRPr="00544BA3">
        <w:rPr>
          <w:sz w:val="20"/>
        </w:rPr>
        <w:t>Außerdem beruhte rund die Hälfte der Prüfpunkte auf der subjektiven Beurteilung der Testpersonen und nicht auf objektiven, nachprüfbaren Kriterien.</w:t>
      </w:r>
      <w:r w:rsidR="00DF42F9">
        <w:rPr>
          <w:sz w:val="20"/>
        </w:rPr>
        <w:t>”</w:t>
      </w:r>
    </w:p>
    <w:p w:rsidR="00520E72" w:rsidRPr="00520E72" w:rsidRDefault="00520E72" w:rsidP="00586300">
      <w:pPr>
        <w:pStyle w:val="text"/>
        <w:spacing w:line="360" w:lineRule="auto"/>
        <w:rPr>
          <w:sz w:val="20"/>
        </w:rPr>
      </w:pPr>
    </w:p>
    <w:p w:rsidR="00520E72" w:rsidRPr="00520E72" w:rsidRDefault="00520E72" w:rsidP="00586300">
      <w:pPr>
        <w:pStyle w:val="text"/>
        <w:spacing w:line="360" w:lineRule="auto"/>
        <w:rPr>
          <w:sz w:val="20"/>
        </w:rPr>
      </w:pPr>
      <w:r w:rsidRPr="00520E72">
        <w:rPr>
          <w:sz w:val="20"/>
        </w:rPr>
        <w:t>Auch die Auswahl der untersuchten Organisationen ist letztlich nicht nachvollziehbar</w:t>
      </w:r>
      <w:r w:rsidR="00673F8F">
        <w:rPr>
          <w:sz w:val="20"/>
        </w:rPr>
        <w:t xml:space="preserve">, sondern </w:t>
      </w:r>
      <w:r w:rsidRPr="00520E72">
        <w:rPr>
          <w:sz w:val="20"/>
        </w:rPr>
        <w:t>zeug</w:t>
      </w:r>
      <w:r w:rsidR="00673F8F">
        <w:rPr>
          <w:sz w:val="20"/>
        </w:rPr>
        <w:t>t</w:t>
      </w:r>
      <w:r w:rsidRPr="00520E72">
        <w:rPr>
          <w:sz w:val="20"/>
        </w:rPr>
        <w:t xml:space="preserve"> </w:t>
      </w:r>
      <w:r w:rsidR="00673F8F">
        <w:rPr>
          <w:sz w:val="20"/>
        </w:rPr>
        <w:t xml:space="preserve">von mangelhafter </w:t>
      </w:r>
      <w:r w:rsidRPr="00520E72">
        <w:rPr>
          <w:sz w:val="20"/>
        </w:rPr>
        <w:t xml:space="preserve">Kenntnis der Branche: </w:t>
      </w:r>
      <w:r w:rsidR="00673F8F" w:rsidRPr="00F917F7">
        <w:rPr>
          <w:sz w:val="20"/>
        </w:rPr>
        <w:t>Einige namhafte</w:t>
      </w:r>
      <w:r w:rsidRPr="00520E72">
        <w:rPr>
          <w:sz w:val="20"/>
        </w:rPr>
        <w:t xml:space="preserve"> Anbieter tauchen gar nicht auf, und eine in der vorhergehenden Studie von 2017 in der Teilkategorie Serviceanalyse auf den Schild des Siegers gehobene Organisation bietet </w:t>
      </w:r>
      <w:r w:rsidR="00673F8F" w:rsidRPr="00F917F7">
        <w:rPr>
          <w:sz w:val="20"/>
        </w:rPr>
        <w:t>nach gerade mal vier Jahren Präsenz in der Branche</w:t>
      </w:r>
      <w:r w:rsidR="00673F8F">
        <w:rPr>
          <w:sz w:val="20"/>
        </w:rPr>
        <w:t xml:space="preserve"> seine Schüle</w:t>
      </w:r>
      <w:r w:rsidRPr="00520E72">
        <w:rPr>
          <w:sz w:val="20"/>
        </w:rPr>
        <w:t>raustauschprogramme mittlerweile überhaupt nicht mehr an.</w:t>
      </w:r>
    </w:p>
    <w:p w:rsidR="00520E72" w:rsidRPr="00520E72" w:rsidRDefault="00520E72" w:rsidP="00586300">
      <w:pPr>
        <w:pStyle w:val="EinfacherAbsatz"/>
        <w:spacing w:line="360" w:lineRule="auto"/>
        <w:rPr>
          <w:rFonts w:ascii="MyriadPro-Regular" w:hAnsi="MyriadPro-Regular" w:cs="MyriadPro-Regular"/>
          <w:sz w:val="20"/>
          <w:szCs w:val="18"/>
        </w:rPr>
      </w:pPr>
    </w:p>
    <w:p w:rsidR="00495AB1" w:rsidRPr="00495AB1" w:rsidRDefault="0095055E" w:rsidP="00495AB1">
      <w:pPr>
        <w:pStyle w:val="EinfacherAbsatz"/>
        <w:spacing w:line="360" w:lineRule="auto"/>
        <w:ind w:left="567" w:right="838" w:hanging="567"/>
        <w:rPr>
          <w:rFonts w:ascii="MyriadPro-Regular" w:hAnsi="MyriadPro-Regular" w:cs="MyriadPro-Regular"/>
          <w:b/>
          <w:sz w:val="20"/>
          <w:szCs w:val="20"/>
        </w:rPr>
      </w:pPr>
      <w:r w:rsidRPr="00F917F7">
        <w:rPr>
          <w:rFonts w:ascii="MyriadPro-Regular" w:hAnsi="MyriadPro-Regular" w:cs="MyriadPro-Regular"/>
          <w:b/>
          <w:sz w:val="20"/>
          <w:szCs w:val="20"/>
        </w:rPr>
        <w:t xml:space="preserve">Wie mit Testsiegeln Geld verdient wird: Die Tricks der Siegelverkäufer </w:t>
      </w:r>
    </w:p>
    <w:p w:rsidR="006D208A" w:rsidRDefault="00520E72" w:rsidP="006D208A">
      <w:pPr>
        <w:pStyle w:val="AAAMyriad"/>
      </w:pPr>
      <w:r w:rsidRPr="00520E72">
        <w:t>Den untersuchten Veranstaltern wird</w:t>
      </w:r>
      <w:r w:rsidR="00673F8F">
        <w:t xml:space="preserve"> nach Veröffentlichung der Studie</w:t>
      </w:r>
      <w:r w:rsidRPr="00520E72">
        <w:t xml:space="preserve"> angeboten, ein – im vier- bis fünfstelligen Eurobereich kostenpflichtiges – Qualitätssiegel des Instituts zu kaufen, um damit Werbung betreiben zu können. Solange </w:t>
      </w:r>
      <w:r w:rsidR="00673F8F">
        <w:t>das</w:t>
      </w:r>
      <w:r w:rsidRPr="00520E72">
        <w:t xml:space="preserve"> Geld </w:t>
      </w:r>
      <w:r w:rsidR="00673F8F">
        <w:t xml:space="preserve">auch im Folgejahr </w:t>
      </w:r>
      <w:r w:rsidRPr="00520E72">
        <w:t>fließ</w:t>
      </w:r>
      <w:r w:rsidR="00673F8F">
        <w:t>t</w:t>
      </w:r>
      <w:r w:rsidRPr="00520E72">
        <w:t>, verzi</w:t>
      </w:r>
      <w:r w:rsidR="00673F8F">
        <w:t>chtet das DISQ auf seine „</w:t>
      </w:r>
      <w:r w:rsidRPr="00520E72">
        <w:t>Marktforschung auf höchstem</w:t>
      </w:r>
      <w:r w:rsidR="00673F8F">
        <w:t xml:space="preserve"> Niveau“ und lässt </w:t>
      </w:r>
      <w:r w:rsidRPr="00520E72">
        <w:t xml:space="preserve">alte Siegel </w:t>
      </w:r>
      <w:r w:rsidR="00673F8F">
        <w:t xml:space="preserve">ohne erneute Prüfung ein weiteres Jahr verwenden. </w:t>
      </w:r>
    </w:p>
    <w:p w:rsidR="00070F17" w:rsidRDefault="00520E72" w:rsidP="006D208A">
      <w:pPr>
        <w:pStyle w:val="AAAMyriad"/>
      </w:pPr>
      <w:r w:rsidRPr="00F917F7">
        <w:t xml:space="preserve">In der Zwischenzeit wird mit den üblichen Methoden des Direktmarketing versucht, den </w:t>
      </w:r>
      <w:r w:rsidR="00765083">
        <w:t>O</w:t>
      </w:r>
      <w:r w:rsidRPr="00F917F7">
        <w:t>rganisationen die Siegel zu verkaufen.</w:t>
      </w:r>
      <w:r w:rsidR="00673F8F" w:rsidRPr="00F917F7">
        <w:t xml:space="preserve"> </w:t>
      </w:r>
      <w:r w:rsidR="00080EDD" w:rsidRPr="00F917F7">
        <w:t xml:space="preserve">Die </w:t>
      </w:r>
      <w:r w:rsidR="006D208A" w:rsidRPr="00F917F7">
        <w:t>„</w:t>
      </w:r>
      <w:r w:rsidR="00080EDD" w:rsidRPr="00F917F7">
        <w:t>Tricks der Siegelverkäufer</w:t>
      </w:r>
      <w:r w:rsidR="006D208A" w:rsidRPr="00F917F7">
        <w:t>”</w:t>
      </w:r>
      <w:r w:rsidR="00080EDD" w:rsidRPr="00F917F7">
        <w:t xml:space="preserve"> </w:t>
      </w:r>
      <w:r w:rsidR="006D208A" w:rsidRPr="00F917F7">
        <w:t xml:space="preserve">analysiert </w:t>
      </w:r>
      <w:r w:rsidR="00080EDD" w:rsidRPr="00F917F7">
        <w:t xml:space="preserve">die Rheinische Post </w:t>
      </w:r>
      <w:r w:rsidR="006D208A" w:rsidRPr="00F917F7">
        <w:t>unter de</w:t>
      </w:r>
      <w:r w:rsidR="00F942D8">
        <w:t xml:space="preserve">m Titel „Verbrauchertäuschung: </w:t>
      </w:r>
      <w:r w:rsidR="006D208A" w:rsidRPr="00F917F7">
        <w:t xml:space="preserve">Wie mit Testsiegeln Geld verdient wird”: </w:t>
      </w:r>
      <w:r w:rsidR="006D208A" w:rsidRPr="00F942D8">
        <w:t>„Die Siegel-Verkäufer sind pfiffig. Wer viele Teilsieger kürt, erhöht die Chancen, möglichst viele Siegel bei der Wirtschaft abzusetzen</w:t>
      </w:r>
      <w:r w:rsidR="0089102D" w:rsidRPr="00F917F7">
        <w:t>.</w:t>
      </w:r>
      <w:r w:rsidR="006D208A" w:rsidRPr="00F942D8">
        <w:t>”</w:t>
      </w:r>
      <w:r w:rsidR="006D208A" w:rsidRPr="00F917F7">
        <w:rPr>
          <w:rFonts w:ascii="Myriad Pro" w:hAnsi="Myriad Pro" w:cs="Times New Roman"/>
          <w:lang w:eastAsia="de-DE"/>
        </w:rPr>
        <w:t xml:space="preserve"> </w:t>
      </w:r>
      <w:r w:rsidR="00765083">
        <w:rPr>
          <w:rFonts w:ascii="Myriad Pro" w:hAnsi="Myriad Pro" w:cs="Times New Roman"/>
          <w:lang w:eastAsia="de-DE"/>
        </w:rPr>
        <w:t xml:space="preserve">Näheres mit Eingabe des Suchbegriffs „Siegelverkauf” unter </w:t>
      </w:r>
      <w:r w:rsidR="006D208A" w:rsidRPr="00F917F7">
        <w:rPr>
          <w:rFonts w:ascii="Myriad Pro" w:hAnsi="Myriad Pro" w:cs="Times New Roman"/>
          <w:lang w:eastAsia="de-DE"/>
        </w:rPr>
        <w:t>(</w:t>
      </w:r>
      <w:hyperlink r:id="rId6" w:history="1">
        <w:r w:rsidR="00592291" w:rsidRPr="00F917F7">
          <w:rPr>
            <w:rStyle w:val="Link"/>
            <w:rFonts w:ascii="Myriad Pro" w:hAnsi="Myriad Pro"/>
          </w:rPr>
          <w:t>http</w:t>
        </w:r>
        <w:r w:rsidR="00592291" w:rsidRPr="00F917F7">
          <w:rPr>
            <w:rStyle w:val="Link"/>
          </w:rPr>
          <w:t>s://rp-online.de/leben/ratgeber/verbraucher/wie-mit-testsiegeln-geld-verdient-wird_aid-15570053</w:t>
        </w:r>
      </w:hyperlink>
      <w:r w:rsidR="006D208A" w:rsidRPr="00F917F7">
        <w:t>)</w:t>
      </w:r>
    </w:p>
    <w:p w:rsidR="00592291" w:rsidRDefault="00592291" w:rsidP="006D208A">
      <w:pPr>
        <w:pStyle w:val="AAAMyriad"/>
      </w:pPr>
    </w:p>
    <w:p w:rsidR="00592291" w:rsidRDefault="00592291" w:rsidP="006D208A">
      <w:pPr>
        <w:pStyle w:val="AAAMyriad"/>
      </w:pPr>
    </w:p>
    <w:p w:rsidR="00586300" w:rsidRPr="006D208A" w:rsidRDefault="00586300" w:rsidP="006D208A">
      <w:pPr>
        <w:pStyle w:val="AAAMyriad"/>
      </w:pPr>
    </w:p>
    <w:p w:rsidR="00586300" w:rsidRDefault="00586300" w:rsidP="00586300">
      <w:pPr>
        <w:pStyle w:val="EinfacherAbsatz"/>
        <w:spacing w:line="360" w:lineRule="auto"/>
        <w:rPr>
          <w:rFonts w:ascii="MyriadPro-Regular" w:hAnsi="MyriadPro-Regular" w:cs="MyriadPro-Regular"/>
          <w:sz w:val="20"/>
          <w:szCs w:val="18"/>
        </w:rPr>
      </w:pPr>
    </w:p>
    <w:p w:rsidR="00954838" w:rsidRDefault="00954838" w:rsidP="00586300">
      <w:pPr>
        <w:pStyle w:val="EinfacherAbsatz"/>
        <w:spacing w:line="360" w:lineRule="auto"/>
        <w:ind w:left="567" w:right="838" w:hanging="567"/>
        <w:rPr>
          <w:rFonts w:ascii="MyriadPro-Regular" w:hAnsi="MyriadPro-Regular" w:cs="MyriadPro-Regular"/>
          <w:b/>
          <w:sz w:val="22"/>
          <w:szCs w:val="20"/>
        </w:rPr>
      </w:pPr>
    </w:p>
    <w:p w:rsidR="00954838" w:rsidRDefault="00954838" w:rsidP="00586300">
      <w:pPr>
        <w:pStyle w:val="EinfacherAbsatz"/>
        <w:spacing w:line="360" w:lineRule="auto"/>
        <w:ind w:left="567" w:right="838" w:hanging="567"/>
        <w:rPr>
          <w:rFonts w:ascii="MyriadPro-Regular" w:hAnsi="MyriadPro-Regular" w:cs="MyriadPro-Regular"/>
          <w:b/>
          <w:sz w:val="22"/>
          <w:szCs w:val="20"/>
        </w:rPr>
      </w:pPr>
    </w:p>
    <w:p w:rsidR="00586300" w:rsidRPr="00586300" w:rsidRDefault="00586300" w:rsidP="00586300">
      <w:pPr>
        <w:pStyle w:val="EinfacherAbsatz"/>
        <w:spacing w:line="360" w:lineRule="auto"/>
        <w:ind w:left="567" w:right="838" w:hanging="567"/>
        <w:rPr>
          <w:rFonts w:ascii="MyriadPro-Regular" w:hAnsi="MyriadPro-Regular" w:cs="MyriadPro-Regular"/>
          <w:b/>
          <w:sz w:val="22"/>
          <w:szCs w:val="20"/>
        </w:rPr>
      </w:pPr>
      <w:r>
        <w:rPr>
          <w:rFonts w:ascii="MyriadPro-Regular" w:hAnsi="MyriadPro-Regular" w:cs="MyriadPro-Regular"/>
          <w:b/>
          <w:sz w:val="22"/>
          <w:szCs w:val="20"/>
        </w:rPr>
        <w:t>Stellungnahme des Deutschen Fachverbands High School (DFH)</w:t>
      </w: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Se</w:t>
      </w:r>
      <w:r w:rsidR="00F917F7">
        <w:rPr>
          <w:rFonts w:ascii="MyriadPro-Regular" w:hAnsi="MyriadPro-Regular" w:cs="MyriadPro-Regular"/>
          <w:sz w:val="20"/>
          <w:szCs w:val="18"/>
        </w:rPr>
        <w:t xml:space="preserve">lbstverständlich freut man sich </w:t>
      </w:r>
      <w:r w:rsidRPr="00520E72">
        <w:rPr>
          <w:rFonts w:ascii="MyriadPro-Regular" w:hAnsi="MyriadPro-Regular" w:cs="MyriadPro-Regular"/>
          <w:sz w:val="20"/>
          <w:szCs w:val="18"/>
        </w:rPr>
        <w:t xml:space="preserve">als Organisation über Resultate wie „Service auf hohem Niveau, umfassende Information, Kompetenz der Mitarbeiter und fachkundige Auskünfte”, auch wenn diese bereits durch eigene Untersuchungen bestätigt sind. Gleichwohl liegt uns das von der Studie ignorierte eigentliche Qualitätsinteresse unserer </w:t>
      </w:r>
      <w:proofErr w:type="spellStart"/>
      <w:r w:rsidRPr="00520E72">
        <w:rPr>
          <w:rFonts w:ascii="MyriadPro-Regular" w:hAnsi="MyriadPro-Regular" w:cs="MyriadPro-Regular"/>
          <w:sz w:val="20"/>
          <w:szCs w:val="18"/>
        </w:rPr>
        <w:t>Gastschüler*innen</w:t>
      </w:r>
      <w:proofErr w:type="spellEnd"/>
      <w:r w:rsidRPr="00520E72">
        <w:rPr>
          <w:rFonts w:ascii="MyriadPro-Regular" w:hAnsi="MyriadPro-Regular" w:cs="MyriadPro-Regular"/>
          <w:sz w:val="20"/>
          <w:szCs w:val="18"/>
        </w:rPr>
        <w:t xml:space="preserve"> und deren Eltern genauso am Herzen. Diese erwarten von uns mit Sicherheit nicht, dass wir die uns anvertrauten Gelder für den Kauf von teuren Siegellizenzen verwenden, sondern wollen – w</w:t>
      </w:r>
      <w:r w:rsidR="00BE082F">
        <w:rPr>
          <w:rFonts w:ascii="MyriadPro-Regular" w:hAnsi="MyriadPro-Regular" w:cs="MyriadPro-Regular"/>
          <w:sz w:val="20"/>
          <w:szCs w:val="18"/>
        </w:rPr>
        <w:t>ie wir – diese in eine wirklich</w:t>
      </w:r>
      <w:r w:rsidRPr="00520E72">
        <w:rPr>
          <w:rFonts w:ascii="MyriadPro-Regular" w:hAnsi="MyriadPro-Regular" w:cs="MyriadPro-Regular"/>
          <w:sz w:val="20"/>
          <w:szCs w:val="18"/>
        </w:rPr>
        <w:t xml:space="preserve"> umfängliche Servicequalität investiert sehen: in die Aufrechterhaltung und stetige Weiterentwicklung von guter Beratung, Betreuung und Vorbereitung </w:t>
      </w:r>
      <w:r w:rsidR="006D208A" w:rsidRPr="00F917F7">
        <w:rPr>
          <w:rFonts w:ascii="MyriadPro-Regular" w:hAnsi="MyriadPro-Regular" w:cs="MyriadPro-Regular"/>
          <w:sz w:val="20"/>
          <w:szCs w:val="18"/>
        </w:rPr>
        <w:t>sowie der</w:t>
      </w:r>
      <w:r w:rsidRPr="00F917F7">
        <w:rPr>
          <w:rFonts w:ascii="MyriadPro-Regular" w:hAnsi="MyriadPro-Regular" w:cs="MyriadPro-Regular"/>
          <w:sz w:val="20"/>
          <w:szCs w:val="18"/>
        </w:rPr>
        <w:t xml:space="preserve"> </w:t>
      </w:r>
      <w:r w:rsidRPr="00520E72">
        <w:rPr>
          <w:rFonts w:ascii="MyriadPro-Regular" w:hAnsi="MyriadPro-Regular" w:cs="MyriadPro-Regular"/>
          <w:sz w:val="20"/>
          <w:szCs w:val="18"/>
        </w:rPr>
        <w:t xml:space="preserve">Rahmenbedingungen der Lebenswirklichkeit unserer </w:t>
      </w:r>
      <w:proofErr w:type="spellStart"/>
      <w:r w:rsidRPr="00520E72">
        <w:rPr>
          <w:rFonts w:ascii="MyriadPro-Regular" w:hAnsi="MyriadPro-Regular" w:cs="MyriadPro-Regular"/>
          <w:sz w:val="20"/>
          <w:szCs w:val="18"/>
        </w:rPr>
        <w:t>Teilnehmer*innen</w:t>
      </w:r>
      <w:proofErr w:type="spellEnd"/>
      <w:r w:rsidRPr="00520E72">
        <w:rPr>
          <w:rFonts w:ascii="MyriadPro-Regular" w:hAnsi="MyriadPro-Regular" w:cs="MyriadPro-Regular"/>
          <w:sz w:val="20"/>
          <w:szCs w:val="18"/>
        </w:rPr>
        <w:t xml:space="preserve"> in Gastfamilie und Schule im Gastland.</w:t>
      </w:r>
    </w:p>
    <w:p w:rsidR="00520E72" w:rsidRPr="00520E72" w:rsidRDefault="00520E72" w:rsidP="00586300">
      <w:pPr>
        <w:pStyle w:val="EinfacherAbsatz"/>
        <w:spacing w:line="360" w:lineRule="auto"/>
        <w:rPr>
          <w:rFonts w:ascii="MyriadPro-Regular" w:hAnsi="MyriadPro-Regular" w:cs="MyriadPro-Regular"/>
          <w:sz w:val="20"/>
          <w:szCs w:val="18"/>
        </w:rPr>
      </w:pPr>
    </w:p>
    <w:p w:rsidR="004B546F" w:rsidRDefault="00520E72" w:rsidP="004B546F">
      <w:pPr>
        <w:pStyle w:val="AAAMyriad"/>
      </w:pPr>
      <w:r w:rsidRPr="00520E72">
        <w:t>Gegenüber profitorientierten „</w:t>
      </w:r>
      <w:r w:rsidRPr="004B546F">
        <w:t>Wettbewerbsanalysen</w:t>
      </w:r>
      <w:r w:rsidRPr="00520E72">
        <w:t xml:space="preserve">“ ist weiter festzuhalten, dass die umfassendste Qualitätskontrolle des deutschen Austauschmarkts </w:t>
      </w:r>
      <w:r w:rsidR="00644F7B" w:rsidRPr="00D20286">
        <w:t xml:space="preserve">bereits seit </w:t>
      </w:r>
      <w:r w:rsidR="00D20286" w:rsidRPr="00D20286">
        <w:t>15</w:t>
      </w:r>
      <w:r w:rsidR="00644F7B" w:rsidRPr="00D20286">
        <w:t xml:space="preserve"> Jahren</w:t>
      </w:r>
      <w:r w:rsidR="00644F7B">
        <w:t xml:space="preserve"> </w:t>
      </w:r>
      <w:r w:rsidRPr="00520E72">
        <w:t>durch den unabhängigen Fachbeirat des DFH</w:t>
      </w:r>
      <w:r w:rsidR="00BE082F">
        <w:t xml:space="preserve"> selbst</w:t>
      </w:r>
      <w:r w:rsidRPr="00520E72">
        <w:t xml:space="preserve"> geleistet wird. Im Sinn</w:t>
      </w:r>
      <w:r w:rsidR="00BE082F">
        <w:t>e</w:t>
      </w:r>
      <w:r w:rsidRPr="00520E72">
        <w:t xml:space="preserve"> der Qualitätssicherung überprüft ein aus erfahrenen Schulpädagogen mit langjähriger </w:t>
      </w:r>
      <w:proofErr w:type="spellStart"/>
      <w:r w:rsidRPr="00520E72">
        <w:t>Austauscherfahrung</w:t>
      </w:r>
      <w:proofErr w:type="spellEnd"/>
      <w:r w:rsidRPr="00520E72">
        <w:t xml:space="preserve"> bestehendes Team die Einhaltung der strengen Qualitätsrichtlinien des Verbandes durch seine Mitglieder und die Zufriedenheit von </w:t>
      </w:r>
      <w:proofErr w:type="spellStart"/>
      <w:r w:rsidRPr="00520E72">
        <w:t>Schüler</w:t>
      </w:r>
      <w:r w:rsidR="00BE082F">
        <w:t>*innen</w:t>
      </w:r>
      <w:proofErr w:type="spellEnd"/>
      <w:r w:rsidRPr="00520E72">
        <w:t xml:space="preserve"> und Eltern in allen Aspekten der Programme, die</w:t>
      </w:r>
      <w:r w:rsidR="00BE082F">
        <w:t xml:space="preserve"> selbstverständlich auch die vom</w:t>
      </w:r>
      <w:r w:rsidRPr="00520E72">
        <w:t xml:space="preserve"> DISQ thematisierten Punkte beinhalten. Dies erfolgt durch breit angelegte jährliche </w:t>
      </w:r>
      <w:r w:rsidRPr="00070F17">
        <w:t>Teilnehmer</w:t>
      </w:r>
      <w:r w:rsidR="00644F7B" w:rsidRPr="00070F17">
        <w:t>- und Eltern</w:t>
      </w:r>
      <w:r w:rsidRPr="00070F17">
        <w:t xml:space="preserve">befragungen auf der Basis von jeweils 150 </w:t>
      </w:r>
      <w:proofErr w:type="spellStart"/>
      <w:r w:rsidRPr="00070F17">
        <w:t>Teilnehmer</w:t>
      </w:r>
      <w:r w:rsidR="00BE082F" w:rsidRPr="00070F17">
        <w:t>*innen</w:t>
      </w:r>
      <w:proofErr w:type="spellEnd"/>
      <w:r w:rsidR="00BE082F" w:rsidRPr="00070F17">
        <w:t xml:space="preserve"> pro </w:t>
      </w:r>
      <w:proofErr w:type="spellStart"/>
      <w:r w:rsidR="00BE082F" w:rsidRPr="00070F17">
        <w:t>DFH-Mitglieds</w:t>
      </w:r>
      <w:r w:rsidR="00644F7B" w:rsidRPr="00070F17">
        <w:t>organisation</w:t>
      </w:r>
      <w:proofErr w:type="spellEnd"/>
      <w:r w:rsidR="00644F7B" w:rsidRPr="00070F17">
        <w:t>.</w:t>
      </w:r>
      <w:r w:rsidRPr="00520E72">
        <w:t xml:space="preserve"> </w:t>
      </w:r>
    </w:p>
    <w:p w:rsidR="004B546F" w:rsidRDefault="004B546F" w:rsidP="004B546F">
      <w:pPr>
        <w:pStyle w:val="AAAMyriad"/>
      </w:pPr>
      <w:r>
        <w:t xml:space="preserve">Im Gegensatz zu den käuflichen Siegeln selbsternannter </w:t>
      </w:r>
      <w:r w:rsidRPr="00520E72">
        <w:t>Qualitäts</w:t>
      </w:r>
      <w:r>
        <w:t>prüfer widerspiegelt das vom Verb</w:t>
      </w:r>
      <w:r w:rsidRPr="004B546F">
        <w:t>and</w:t>
      </w:r>
      <w:r>
        <w:t xml:space="preserve"> aufgrund der Befragungen verliehene </w:t>
      </w:r>
      <w:proofErr w:type="spellStart"/>
      <w:r>
        <w:t>DFH-Qualitätssiegel</w:t>
      </w:r>
      <w:proofErr w:type="spellEnd"/>
      <w:r>
        <w:t xml:space="preserve"> die ganze Bandbreite und Wirklichkeit des Austausches und darf deshalb auch als verlässliche  Information bei der Auswahl einer Organisation gelten. Selbstverständlich wird das </w:t>
      </w:r>
      <w:proofErr w:type="spellStart"/>
      <w:r>
        <w:t>DFH-Siegel</w:t>
      </w:r>
      <w:proofErr w:type="spellEnd"/>
      <w:r>
        <w:t xml:space="preserve"> auch nicht „verkauft”, sondern</w:t>
      </w:r>
      <w:r w:rsidR="003D4C3C">
        <w:t xml:space="preserve"> kostenfrei</w:t>
      </w:r>
      <w:r>
        <w:t xml:space="preserve"> </w:t>
      </w:r>
      <w:r w:rsidR="003D4C3C">
        <w:t xml:space="preserve">und ausschließlich </w:t>
      </w:r>
      <w:r>
        <w:t>auf der Grundlage der Befragungsresultate verliehen.</w:t>
      </w:r>
    </w:p>
    <w:p w:rsidR="009450AE" w:rsidRDefault="000D1E1A" w:rsidP="004B546F">
      <w:pPr>
        <w:pStyle w:val="AAAMyriad"/>
        <w:rPr>
          <w:u w:val="thick"/>
        </w:rPr>
      </w:pPr>
      <w:r>
        <w:t>E</w:t>
      </w:r>
      <w:r w:rsidR="003259E3">
        <w:t>ine</w:t>
      </w:r>
      <w:r>
        <w:t>n</w:t>
      </w:r>
      <w:r w:rsidR="003259E3">
        <w:t xml:space="preserve"> </w:t>
      </w:r>
      <w:r w:rsidR="00520E72" w:rsidRPr="00520E72">
        <w:t xml:space="preserve">repräsentativen Ausschnitt der Befragung finden Sie </w:t>
      </w:r>
      <w:r w:rsidR="004B546F">
        <w:t>unter</w:t>
      </w:r>
      <w:r>
        <w:t xml:space="preserve"> diesem </w:t>
      </w:r>
      <w:r>
        <w:rPr>
          <w:color w:val="0000FF"/>
          <w:u w:val="single"/>
        </w:rPr>
        <w:t>Link</w:t>
      </w:r>
      <w:r>
        <w:t>.</w:t>
      </w:r>
    </w:p>
    <w:p w:rsidR="005C4F6C"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 xml:space="preserve">Die allgemeine Beschreibung der Befragung findet sich unter </w:t>
      </w:r>
      <w:proofErr w:type="spellStart"/>
      <w:r w:rsidR="005C4F6C" w:rsidRPr="000D1E1A">
        <w:rPr>
          <w:rFonts w:ascii="MyriadPro-Regular" w:hAnsi="MyriadPro-Regular" w:cs="MyriadPro-Regular"/>
          <w:color w:val="0000FF"/>
          <w:sz w:val="20"/>
          <w:szCs w:val="18"/>
        </w:rPr>
        <w:t>dfh.org/der-dfh/richtlinien</w:t>
      </w:r>
      <w:proofErr w:type="spellEnd"/>
      <w:r w:rsidRPr="00F06131">
        <w:rPr>
          <w:rFonts w:ascii="MyriadPro-Regular" w:hAnsi="MyriadPro-Regular" w:cs="MyriadPro-Regular"/>
          <w:color w:val="548DD4" w:themeColor="text2" w:themeTint="99"/>
          <w:sz w:val="20"/>
          <w:szCs w:val="18"/>
        </w:rPr>
        <w:t>.</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p>
    <w:p w:rsidR="00311015" w:rsidRPr="00520E72" w:rsidRDefault="000D1E1A" w:rsidP="00586300">
      <w:pPr>
        <w:spacing w:line="360" w:lineRule="auto"/>
        <w:rPr>
          <w:sz w:val="20"/>
        </w:rPr>
      </w:pPr>
    </w:p>
    <w:sectPr w:rsidR="00311015" w:rsidRPr="00520E72" w:rsidSect="00495AB1">
      <w:pgSz w:w="11906" w:h="16838"/>
      <w:pgMar w:top="720" w:right="1841" w:bottom="720" w:left="1843"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calaSans">
    <w:altName w:val="Courier New"/>
    <w:charset w:val="00"/>
    <w:family w:val="auto"/>
    <w:pitch w:val="variable"/>
    <w:sig w:usb0="03000000"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calaSans-Regular">
    <w:altName w:val="Avenir Book"/>
    <w:charset w:val="00"/>
    <w:family w:val="auto"/>
    <w:pitch w:val="variable"/>
    <w:sig w:usb0="03000000" w:usb1="00000000" w:usb2="00000000" w:usb3="00000000" w:csb0="00000001" w:csb1="00000000"/>
  </w:font>
  <w:font w:name="ScalaSans-Bold">
    <w:altName w:val="Kefa"/>
    <w:charset w:val="00"/>
    <w:family w:val="auto"/>
    <w:pitch w:val="variable"/>
    <w:sig w:usb0="03000000" w:usb1="00000000" w:usb2="00000000" w:usb3="00000000" w:csb0="00000001" w:csb1="00000000"/>
  </w:font>
  <w:font w:name="ScalaSans-BoldItalic">
    <w:altName w:val="Avenir Book"/>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Myriad Pro">
    <w:panose1 w:val="020B0503030403020204"/>
    <w:charset w:val="00"/>
    <w:family w:val="auto"/>
    <w:pitch w:val="variable"/>
    <w:sig w:usb0="00000003" w:usb1="00000000" w:usb2="00000000" w:usb3="00000000" w:csb0="00000001" w:csb1="00000000"/>
  </w:font>
  <w:font w:name="Myriad-Roman">
    <w:altName w:val="Kef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00000"/>
    <w:lvl w:ilvl="0">
      <w:start w:val="1"/>
      <w:numFmt w:val="decimal"/>
      <w:lvlText w:val="%1."/>
      <w:lvlJc w:val="left"/>
      <w:pPr>
        <w:tabs>
          <w:tab w:val="num" w:pos="1492"/>
        </w:tabs>
        <w:ind w:left="1492" w:hanging="360"/>
      </w:pPr>
    </w:lvl>
  </w:abstractNum>
  <w:abstractNum w:abstractNumId="1">
    <w:nsid w:val="FFFFFF7D"/>
    <w:multiLevelType w:val="singleLevel"/>
    <w:tmpl w:val="00000000"/>
    <w:lvl w:ilvl="0">
      <w:start w:val="1"/>
      <w:numFmt w:val="decimal"/>
      <w:lvlText w:val="%1."/>
      <w:lvlJc w:val="left"/>
      <w:pPr>
        <w:tabs>
          <w:tab w:val="num" w:pos="1209"/>
        </w:tabs>
        <w:ind w:left="1209" w:hanging="360"/>
      </w:pPr>
    </w:lvl>
  </w:abstractNum>
  <w:abstractNum w:abstractNumId="2">
    <w:nsid w:val="FFFFFF7E"/>
    <w:multiLevelType w:val="singleLevel"/>
    <w:tmpl w:val="00000000"/>
    <w:lvl w:ilvl="0">
      <w:start w:val="1"/>
      <w:numFmt w:val="decimal"/>
      <w:lvlText w:val="%1."/>
      <w:lvlJc w:val="left"/>
      <w:pPr>
        <w:tabs>
          <w:tab w:val="num" w:pos="926"/>
        </w:tabs>
        <w:ind w:left="926" w:hanging="360"/>
      </w:pPr>
    </w:lvl>
  </w:abstractNum>
  <w:abstractNum w:abstractNumId="3">
    <w:nsid w:val="FFFFFF7F"/>
    <w:multiLevelType w:val="singleLevel"/>
    <w:tmpl w:val="00000000"/>
    <w:lvl w:ilvl="0">
      <w:start w:val="1"/>
      <w:numFmt w:val="decimal"/>
      <w:lvlText w:val="%1."/>
      <w:lvlJc w:val="left"/>
      <w:pPr>
        <w:tabs>
          <w:tab w:val="num" w:pos="643"/>
        </w:tabs>
        <w:ind w:left="643" w:hanging="360"/>
      </w:pPr>
    </w:lvl>
  </w:abstractNum>
  <w:abstractNum w:abstractNumId="4">
    <w:nsid w:val="FFFFFF80"/>
    <w:multiLevelType w:val="singleLevel"/>
    <w:tmpl w:val="000000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0000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00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00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000000"/>
    <w:lvl w:ilvl="0">
      <w:start w:val="1"/>
      <w:numFmt w:val="decimal"/>
      <w:lvlText w:val="%1."/>
      <w:lvlJc w:val="left"/>
      <w:pPr>
        <w:tabs>
          <w:tab w:val="num" w:pos="360"/>
        </w:tabs>
        <w:ind w:left="360" w:hanging="360"/>
      </w:pPr>
    </w:lvl>
  </w:abstractNum>
  <w:abstractNum w:abstractNumId="9">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Dot"/>
      <w:lvlText w:val=""/>
      <w:lvlJc w:val="left"/>
      <w:pPr>
        <w:tabs>
          <w:tab w:val="num" w:pos="360"/>
        </w:tabs>
        <w:ind w:left="340" w:hanging="340"/>
      </w:pPr>
      <w:rPr>
        <w:rFonts w:ascii="Symbol" w:hAnsi="Symbol" w:hint="default"/>
      </w:rPr>
    </w:lvl>
  </w:abstractNum>
  <w:abstractNum w:abstractNumId="11">
    <w:nsid w:val="00000002"/>
    <w:multiLevelType w:val="singleLevel"/>
    <w:tmpl w:val="00000000"/>
    <w:lvl w:ilvl="0">
      <w:start w:val="1"/>
      <w:numFmt w:val="bullet"/>
      <w:pStyle w:val="Dash"/>
      <w:lvlText w:val="—"/>
      <w:lvlJc w:val="left"/>
      <w:pPr>
        <w:tabs>
          <w:tab w:val="num" w:pos="700"/>
        </w:tabs>
        <w:ind w:left="680" w:hanging="340"/>
      </w:pPr>
      <w:rPr>
        <w:rFonts w:ascii="Times" w:hAnsi="Times" w:hint="default"/>
        <w:sz w:val="16"/>
      </w:rPr>
    </w:lvl>
  </w:abstractNum>
  <w:abstractNum w:abstractNumId="12">
    <w:nsid w:val="00000003"/>
    <w:multiLevelType w:val="singleLevel"/>
    <w:tmpl w:val="00000000"/>
    <w:lvl w:ilvl="0">
      <w:start w:val="1"/>
      <w:numFmt w:val="bullet"/>
      <w:lvlText w:val=""/>
      <w:lvlJc w:val="left"/>
      <w:pPr>
        <w:tabs>
          <w:tab w:val="num" w:pos="360"/>
        </w:tabs>
        <w:ind w:left="170" w:hanging="170"/>
      </w:pPr>
      <w:rPr>
        <w:rFonts w:ascii="Symbol" w:hAnsi="Symbol" w:hint="default"/>
        <w:sz w:val="14"/>
      </w:rPr>
    </w:lvl>
  </w:abstractNum>
  <w:abstractNum w:abstractNumId="13">
    <w:nsid w:val="00000004"/>
    <w:multiLevelType w:val="singleLevel"/>
    <w:tmpl w:val="00000000"/>
    <w:lvl w:ilvl="0">
      <w:start w:val="1"/>
      <w:numFmt w:val="bullet"/>
      <w:lvlText w:val="–"/>
      <w:lvlJc w:val="left"/>
      <w:pPr>
        <w:tabs>
          <w:tab w:val="num" w:pos="700"/>
        </w:tabs>
        <w:ind w:left="479" w:hanging="139"/>
      </w:pPr>
      <w:rPr>
        <w:rFonts w:ascii="ScalaSans" w:hAnsi="ScalaSans" w:hint="default"/>
        <w:sz w:val="18"/>
      </w:rPr>
    </w:lvl>
  </w:abstractNum>
  <w:abstractNum w:abstractNumId="14">
    <w:nsid w:val="00000005"/>
    <w:multiLevelType w:val="singleLevel"/>
    <w:tmpl w:val="00000000"/>
    <w:lvl w:ilvl="0">
      <w:start w:val="1"/>
      <w:numFmt w:val="bullet"/>
      <w:pStyle w:val="Dashie"/>
      <w:lvlText w:val="–"/>
      <w:lvlJc w:val="left"/>
      <w:pPr>
        <w:tabs>
          <w:tab w:val="num" w:pos="1040"/>
        </w:tabs>
        <w:ind w:left="1021" w:hanging="341"/>
      </w:pPr>
      <w:rPr>
        <w:rFonts w:ascii="Times" w:hAnsi="Times" w:hint="default"/>
        <w:sz w:val="16"/>
      </w:rPr>
    </w:lvl>
  </w:abstractNum>
  <w:abstractNum w:abstractNumId="15">
    <w:nsid w:val="00000014"/>
    <w:multiLevelType w:val="singleLevel"/>
    <w:tmpl w:val="000F0407"/>
    <w:lvl w:ilvl="0">
      <w:start w:val="1"/>
      <w:numFmt w:val="decimal"/>
      <w:lvlText w:val="%1."/>
      <w:lvlJc w:val="left"/>
      <w:pPr>
        <w:tabs>
          <w:tab w:val="num" w:pos="360"/>
        </w:tabs>
        <w:ind w:left="360" w:hanging="360"/>
      </w:pPr>
    </w:lvl>
  </w:abstractNum>
  <w:abstractNum w:abstractNumId="16">
    <w:nsid w:val="00000015"/>
    <w:multiLevelType w:val="singleLevel"/>
    <w:tmpl w:val="000F0407"/>
    <w:lvl w:ilvl="0">
      <w:start w:val="1"/>
      <w:numFmt w:val="decimal"/>
      <w:lvlText w:val="%1."/>
      <w:lvlJc w:val="left"/>
      <w:pPr>
        <w:tabs>
          <w:tab w:val="num" w:pos="360"/>
        </w:tabs>
        <w:ind w:left="360" w:hanging="360"/>
      </w:pPr>
    </w:lvl>
  </w:abstractNum>
  <w:abstractNum w:abstractNumId="17">
    <w:nsid w:val="00000016"/>
    <w:multiLevelType w:val="singleLevel"/>
    <w:tmpl w:val="00000000"/>
    <w:lvl w:ilvl="0">
      <w:start w:val="1"/>
      <w:numFmt w:val="decimal"/>
      <w:lvlText w:val="%1."/>
      <w:lvlJc w:val="left"/>
      <w:pPr>
        <w:tabs>
          <w:tab w:val="num" w:pos="360"/>
        </w:tabs>
        <w:ind w:left="340" w:hanging="340"/>
      </w:pPr>
    </w:lvl>
  </w:abstractNum>
  <w:abstractNum w:abstractNumId="18">
    <w:nsid w:val="00000017"/>
    <w:multiLevelType w:val="singleLevel"/>
    <w:tmpl w:val="00000000"/>
    <w:lvl w:ilvl="0">
      <w:start w:val="1"/>
      <w:numFmt w:val="decimal"/>
      <w:lvlText w:val="%1."/>
      <w:lvlJc w:val="left"/>
      <w:pPr>
        <w:tabs>
          <w:tab w:val="num" w:pos="360"/>
        </w:tabs>
        <w:ind w:left="340" w:hanging="340"/>
      </w:pPr>
    </w:lvl>
  </w:abstractNum>
  <w:abstractNum w:abstractNumId="19">
    <w:nsid w:val="00000020"/>
    <w:multiLevelType w:val="singleLevel"/>
    <w:tmpl w:val="00000000"/>
    <w:lvl w:ilvl="0">
      <w:numFmt w:val="bullet"/>
      <w:lvlText w:val="-"/>
      <w:lvlJc w:val="left"/>
      <w:pPr>
        <w:tabs>
          <w:tab w:val="num" w:pos="360"/>
        </w:tabs>
        <w:ind w:left="340" w:hanging="340"/>
      </w:pPr>
      <w:rPr>
        <w:rFonts w:ascii="Times New Roman" w:hAnsi="Times New Roman" w:hint="default"/>
      </w:rPr>
    </w:lvl>
  </w:abstractNum>
  <w:abstractNum w:abstractNumId="20">
    <w:nsid w:val="00000021"/>
    <w:multiLevelType w:val="singleLevel"/>
    <w:tmpl w:val="00000000"/>
    <w:lvl w:ilvl="0">
      <w:start w:val="1"/>
      <w:numFmt w:val="bullet"/>
      <w:lvlText w:val=""/>
      <w:lvlJc w:val="left"/>
      <w:pPr>
        <w:tabs>
          <w:tab w:val="num" w:pos="360"/>
        </w:tabs>
        <w:ind w:left="340" w:hanging="340"/>
      </w:pPr>
      <w:rPr>
        <w:rFonts w:ascii="Symbol" w:hAnsi="Symbol" w:hint="default"/>
      </w:rPr>
    </w:lvl>
  </w:abstractNum>
  <w:num w:numId="1">
    <w:abstractNumId w:val="12"/>
  </w:num>
  <w:num w:numId="2">
    <w:abstractNumId w:val="12"/>
  </w:num>
  <w:num w:numId="3">
    <w:abstractNumId w:val="13"/>
  </w:num>
  <w:num w:numId="4">
    <w:abstractNumId w:val="12"/>
  </w:num>
  <w:num w:numId="5">
    <w:abstractNumId w:val="14"/>
  </w:num>
  <w:num w:numId="6">
    <w:abstractNumId w:val="12"/>
  </w:num>
  <w:num w:numId="7">
    <w:abstractNumId w:val="13"/>
  </w:num>
  <w:num w:numId="8">
    <w:abstractNumId w:val="14"/>
  </w:num>
  <w:num w:numId="9">
    <w:abstractNumId w:val="12"/>
  </w:num>
  <w:num w:numId="10">
    <w:abstractNumId w:val="13"/>
  </w:num>
  <w:num w:numId="11">
    <w:abstractNumId w:val="14"/>
  </w:num>
  <w:num w:numId="12">
    <w:abstractNumId w:val="12"/>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0"/>
  </w:num>
  <w:num w:numId="26">
    <w:abstractNumId w:val="11"/>
  </w:num>
  <w:num w:numId="27">
    <w:abstractNumId w:val="14"/>
  </w:num>
  <w:num w:numId="28">
    <w:abstractNumId w:val="10"/>
  </w:num>
  <w:num w:numId="29">
    <w:abstractNumId w:val="11"/>
  </w:num>
  <w:num w:numId="30">
    <w:abstractNumId w:val="11"/>
  </w:num>
  <w:num w:numId="31">
    <w:abstractNumId w:val="14"/>
  </w:num>
  <w:num w:numId="32">
    <w:abstractNumId w:val="10"/>
  </w:num>
  <w:num w:numId="33">
    <w:abstractNumId w:val="15"/>
  </w:num>
  <w:num w:numId="34">
    <w:abstractNumId w:val="16"/>
  </w:num>
  <w:num w:numId="35">
    <w:abstractNumId w:val="17"/>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520E72"/>
    <w:rsid w:val="00017064"/>
    <w:rsid w:val="00055B23"/>
    <w:rsid w:val="00070F17"/>
    <w:rsid w:val="00080EDD"/>
    <w:rsid w:val="000B0551"/>
    <w:rsid w:val="000D1E1A"/>
    <w:rsid w:val="00120ACF"/>
    <w:rsid w:val="00186DE2"/>
    <w:rsid w:val="001C3C08"/>
    <w:rsid w:val="002B1A75"/>
    <w:rsid w:val="003215A3"/>
    <w:rsid w:val="003259E3"/>
    <w:rsid w:val="003A0E24"/>
    <w:rsid w:val="003A202A"/>
    <w:rsid w:val="003D4C3C"/>
    <w:rsid w:val="004179E8"/>
    <w:rsid w:val="0045156E"/>
    <w:rsid w:val="00470B55"/>
    <w:rsid w:val="00486CA1"/>
    <w:rsid w:val="00495AB1"/>
    <w:rsid w:val="004B546F"/>
    <w:rsid w:val="004C534C"/>
    <w:rsid w:val="00520E72"/>
    <w:rsid w:val="00544BA3"/>
    <w:rsid w:val="005816E3"/>
    <w:rsid w:val="00586300"/>
    <w:rsid w:val="00592291"/>
    <w:rsid w:val="00596D86"/>
    <w:rsid w:val="005C4F6C"/>
    <w:rsid w:val="005F42CA"/>
    <w:rsid w:val="00644F7B"/>
    <w:rsid w:val="00673F8F"/>
    <w:rsid w:val="006D208A"/>
    <w:rsid w:val="006E4E1F"/>
    <w:rsid w:val="00755FCE"/>
    <w:rsid w:val="00765083"/>
    <w:rsid w:val="00785C64"/>
    <w:rsid w:val="007B5266"/>
    <w:rsid w:val="0089102D"/>
    <w:rsid w:val="008C3EB6"/>
    <w:rsid w:val="00906ED5"/>
    <w:rsid w:val="009450AE"/>
    <w:rsid w:val="0095055E"/>
    <w:rsid w:val="00954838"/>
    <w:rsid w:val="009B6715"/>
    <w:rsid w:val="00A257F7"/>
    <w:rsid w:val="00A87729"/>
    <w:rsid w:val="00BE082F"/>
    <w:rsid w:val="00BF6899"/>
    <w:rsid w:val="00CE43F2"/>
    <w:rsid w:val="00D05C26"/>
    <w:rsid w:val="00D20286"/>
    <w:rsid w:val="00D3474C"/>
    <w:rsid w:val="00D81415"/>
    <w:rsid w:val="00DF42F9"/>
    <w:rsid w:val="00EE2760"/>
    <w:rsid w:val="00F06131"/>
    <w:rsid w:val="00F917F7"/>
    <w:rsid w:val="00F942D8"/>
    <w:rsid w:val="00F9518F"/>
    <w:rsid w:val="00FA2ECD"/>
    <w:rsid w:val="00FE1DC1"/>
  </w:rsids>
  <m:mathPr>
    <m:mathFont m:val="Tahoma"/>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015"/>
    <w:pPr>
      <w:spacing w:before="280" w:line="280" w:lineRule="exact"/>
    </w:pPr>
    <w:rPr>
      <w:rFonts w:ascii="ScalaSans-Regular" w:hAnsi="ScalaSans-Regular"/>
      <w:sz w:val="24"/>
    </w:rPr>
  </w:style>
  <w:style w:type="paragraph" w:styleId="berschrift1">
    <w:name w:val="heading 1"/>
    <w:aliases w:val="Major"/>
    <w:basedOn w:val="Standard"/>
    <w:next w:val="Standard"/>
    <w:qFormat/>
    <w:rsid w:val="00311015"/>
    <w:pPr>
      <w:keepNext/>
      <w:spacing w:before="360"/>
      <w:outlineLvl w:val="0"/>
    </w:pPr>
    <w:rPr>
      <w:rFonts w:ascii="ScalaSans-Bold" w:hAnsi="ScalaSans-Bold"/>
      <w:kern w:val="28"/>
      <w:sz w:val="28"/>
    </w:rPr>
  </w:style>
  <w:style w:type="paragraph" w:styleId="berschrift2">
    <w:name w:val="heading 2"/>
    <w:aliases w:val="Minor"/>
    <w:basedOn w:val="Standard"/>
    <w:next w:val="Standard"/>
    <w:link w:val="berschrift2Zeichen"/>
    <w:uiPriority w:val="9"/>
    <w:qFormat/>
    <w:rsid w:val="00311015"/>
    <w:pPr>
      <w:keepNext/>
      <w:outlineLvl w:val="1"/>
    </w:pPr>
    <w:rPr>
      <w:rFonts w:ascii="ScalaSans-BoldItalic" w:hAnsi="ScalaSans-BoldItalic"/>
    </w:rPr>
  </w:style>
  <w:style w:type="paragraph" w:styleId="berschrift3">
    <w:name w:val="heading 3"/>
    <w:basedOn w:val="Standard"/>
    <w:next w:val="Standard"/>
    <w:qFormat/>
    <w:rsid w:val="00311015"/>
    <w:pPr>
      <w:keepNext/>
      <w:spacing w:before="240" w:after="60"/>
      <w:outlineLvl w:val="2"/>
    </w:pPr>
    <w:rPr>
      <w:rFonts w:ascii="ScalaSans-Bold" w:hAnsi="ScalaSans-Bold"/>
    </w:rPr>
  </w:style>
  <w:style w:type="paragraph" w:styleId="berschrift4">
    <w:name w:val="heading 4"/>
    <w:basedOn w:val="Standard"/>
    <w:next w:val="Standard"/>
    <w:qFormat/>
    <w:rsid w:val="00311015"/>
    <w:pPr>
      <w:keepNext/>
      <w:spacing w:before="240" w:after="60"/>
      <w:outlineLvl w:val="3"/>
    </w:pPr>
    <w:rPr>
      <w:b/>
    </w:rPr>
  </w:style>
  <w:style w:type="paragraph" w:styleId="berschrift6">
    <w:name w:val="heading 6"/>
    <w:basedOn w:val="Standard"/>
    <w:next w:val="Standard"/>
    <w:qFormat/>
    <w:rsid w:val="00311015"/>
    <w:pPr>
      <w:spacing w:before="240" w:after="60"/>
      <w:outlineLvl w:val="5"/>
    </w:pPr>
    <w:rPr>
      <w:i/>
      <w:sz w:val="22"/>
    </w:rPr>
  </w:style>
  <w:style w:type="paragraph" w:styleId="berschrift7">
    <w:name w:val="heading 7"/>
    <w:basedOn w:val="Standard"/>
    <w:next w:val="Standard"/>
    <w:qFormat/>
    <w:rsid w:val="00311015"/>
    <w:pPr>
      <w:spacing w:before="240" w:after="60"/>
      <w:outlineLvl w:val="6"/>
    </w:pPr>
    <w:rPr>
      <w:sz w:val="20"/>
    </w:rPr>
  </w:style>
  <w:style w:type="paragraph" w:styleId="berschrift8">
    <w:name w:val="heading 8"/>
    <w:basedOn w:val="Standard"/>
    <w:next w:val="Standard"/>
    <w:qFormat/>
    <w:rsid w:val="00311015"/>
    <w:pPr>
      <w:spacing w:before="240" w:after="60"/>
      <w:outlineLvl w:val="7"/>
    </w:pPr>
    <w:rPr>
      <w:i/>
      <w:sz w:val="20"/>
    </w:rPr>
  </w:style>
  <w:style w:type="paragraph" w:styleId="berschrift9">
    <w:name w:val="heading 9"/>
    <w:basedOn w:val="Standard"/>
    <w:next w:val="Standard"/>
    <w:qFormat/>
    <w:rsid w:val="00311015"/>
    <w:pPr>
      <w:spacing w:before="240" w:after="60"/>
      <w:outlineLvl w:val="8"/>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1">
    <w:name w:val="Absatz-Standardschriftart1"/>
    <w:rsid w:val="00311015"/>
  </w:style>
  <w:style w:type="paragraph" w:customStyle="1" w:styleId="Dash">
    <w:name w:val="Dash"/>
    <w:basedOn w:val="Standard"/>
    <w:rsid w:val="00311015"/>
    <w:pPr>
      <w:numPr>
        <w:numId w:val="30"/>
      </w:numPr>
      <w:tabs>
        <w:tab w:val="clear" w:pos="700"/>
        <w:tab w:val="left" w:pos="680"/>
      </w:tabs>
      <w:spacing w:before="140"/>
      <w:outlineLvl w:val="3"/>
    </w:pPr>
    <w:rPr>
      <w:rFonts w:eastAsia="Times New Roman"/>
    </w:rPr>
  </w:style>
  <w:style w:type="paragraph" w:customStyle="1" w:styleId="Dashie">
    <w:name w:val="Dashie"/>
    <w:basedOn w:val="Standard"/>
    <w:rsid w:val="00311015"/>
    <w:pPr>
      <w:numPr>
        <w:numId w:val="31"/>
      </w:numPr>
      <w:tabs>
        <w:tab w:val="clear" w:pos="1040"/>
        <w:tab w:val="num" w:pos="360"/>
      </w:tabs>
      <w:spacing w:before="80"/>
      <w:ind w:left="0" w:firstLine="0"/>
      <w:outlineLvl w:val="4"/>
    </w:pPr>
    <w:rPr>
      <w:rFonts w:eastAsia="Times New Roman"/>
    </w:rPr>
  </w:style>
  <w:style w:type="paragraph" w:styleId="Dokumentstruktur">
    <w:name w:val="Document Map"/>
    <w:basedOn w:val="Standard"/>
    <w:rsid w:val="00311015"/>
    <w:pPr>
      <w:shd w:val="clear" w:color="auto" w:fill="000080"/>
    </w:pPr>
  </w:style>
  <w:style w:type="paragraph" w:customStyle="1" w:styleId="Dot">
    <w:name w:val="Dot"/>
    <w:basedOn w:val="Standard"/>
    <w:rsid w:val="00311015"/>
    <w:pPr>
      <w:numPr>
        <w:numId w:val="32"/>
      </w:numPr>
      <w:tabs>
        <w:tab w:val="clear" w:pos="360"/>
        <w:tab w:val="left" w:pos="340"/>
      </w:tabs>
      <w:outlineLvl w:val="2"/>
    </w:pPr>
    <w:rPr>
      <w:rFonts w:eastAsia="Times New Roman"/>
    </w:rPr>
  </w:style>
  <w:style w:type="paragraph" w:customStyle="1" w:styleId="DotohneDot">
    <w:name w:val="Dot ohne Dot"/>
    <w:basedOn w:val="Standardeinzug"/>
    <w:next w:val="Standard"/>
    <w:rsid w:val="00311015"/>
    <w:pPr>
      <w:spacing w:before="140"/>
      <w:ind w:left="340"/>
    </w:pPr>
    <w:rPr>
      <w:rFonts w:eastAsia="Times New Roman"/>
    </w:rPr>
  </w:style>
  <w:style w:type="paragraph" w:styleId="Standardeinzug">
    <w:name w:val="Normal Indent"/>
    <w:basedOn w:val="Standard"/>
    <w:rsid w:val="00311015"/>
    <w:pPr>
      <w:ind w:left="708"/>
    </w:pPr>
  </w:style>
  <w:style w:type="paragraph" w:styleId="Umschlagadresse">
    <w:name w:val="envelope address"/>
    <w:basedOn w:val="Standard"/>
    <w:rsid w:val="00311015"/>
    <w:pPr>
      <w:framePr w:w="4320" w:h="2160" w:hRule="exact" w:hSpace="141" w:wrap="auto" w:hAnchor="page" w:xAlign="center" w:yAlign="bottom"/>
      <w:ind w:left="1"/>
    </w:pPr>
  </w:style>
  <w:style w:type="paragraph" w:styleId="Titel">
    <w:name w:val="Title"/>
    <w:basedOn w:val="Standard"/>
    <w:next w:val="Standard"/>
    <w:qFormat/>
    <w:rsid w:val="00311015"/>
    <w:pPr>
      <w:spacing w:before="1260" w:line="420" w:lineRule="exact"/>
      <w:outlineLvl w:val="0"/>
    </w:pPr>
    <w:rPr>
      <w:rFonts w:ascii="ScalaSans-Bold" w:hAnsi="ScalaSans-Bold"/>
      <w:kern w:val="28"/>
      <w:sz w:val="38"/>
    </w:rPr>
  </w:style>
  <w:style w:type="paragraph" w:customStyle="1" w:styleId="Formatvorlage1">
    <w:name w:val="Formatvorlage1"/>
    <w:basedOn w:val="Standard"/>
    <w:qFormat/>
    <w:rsid w:val="00FA521E"/>
    <w:pPr>
      <w:widowControl w:val="0"/>
      <w:autoSpaceDE w:val="0"/>
      <w:autoSpaceDN w:val="0"/>
      <w:adjustRightInd w:val="0"/>
      <w:spacing w:before="0" w:after="120" w:line="288" w:lineRule="auto"/>
      <w:textAlignment w:val="center"/>
    </w:pPr>
    <w:rPr>
      <w:rFonts w:ascii="Arial" w:hAnsi="Arial" w:cs="MinionPro-Regular"/>
      <w:color w:val="1F497D" w:themeColor="text2"/>
      <w:sz w:val="22"/>
      <w:szCs w:val="24"/>
    </w:rPr>
  </w:style>
  <w:style w:type="paragraph" w:customStyle="1" w:styleId="EinfacherAbsatz">
    <w:name w:val="[Einfacher Absatz]"/>
    <w:basedOn w:val="Standard"/>
    <w:uiPriority w:val="99"/>
    <w:rsid w:val="00520E72"/>
    <w:pPr>
      <w:widowControl w:val="0"/>
      <w:autoSpaceDE w:val="0"/>
      <w:autoSpaceDN w:val="0"/>
      <w:adjustRightInd w:val="0"/>
      <w:spacing w:before="0" w:line="288" w:lineRule="auto"/>
      <w:textAlignment w:val="center"/>
    </w:pPr>
    <w:rPr>
      <w:rFonts w:ascii="MinionPro-Regular" w:hAnsi="MinionPro-Regular" w:cs="MinionPro-Regular"/>
      <w:color w:val="000000"/>
      <w:szCs w:val="24"/>
    </w:rPr>
  </w:style>
  <w:style w:type="paragraph" w:customStyle="1" w:styleId="text">
    <w:name w:val="text"/>
    <w:basedOn w:val="Standard"/>
    <w:rsid w:val="00520E72"/>
    <w:pPr>
      <w:widowControl w:val="0"/>
      <w:autoSpaceDE w:val="0"/>
      <w:autoSpaceDN w:val="0"/>
      <w:adjustRightInd w:val="0"/>
      <w:spacing w:before="0" w:line="260" w:lineRule="atLeast"/>
      <w:textAlignment w:val="center"/>
    </w:pPr>
    <w:rPr>
      <w:rFonts w:ascii="MyriadPro-Regular" w:hAnsi="MyriadPro-Regular" w:cs="MyriadPro-Regular"/>
      <w:color w:val="000000"/>
      <w:sz w:val="18"/>
      <w:szCs w:val="18"/>
    </w:rPr>
  </w:style>
  <w:style w:type="character" w:styleId="Link">
    <w:name w:val="Hyperlink"/>
    <w:basedOn w:val="Absatzstandardschriftart"/>
    <w:uiPriority w:val="99"/>
    <w:semiHidden/>
    <w:unhideWhenUsed/>
    <w:rsid w:val="00495AB1"/>
    <w:rPr>
      <w:color w:val="0000FF" w:themeColor="hyperlink"/>
      <w:u w:val="single"/>
    </w:rPr>
  </w:style>
  <w:style w:type="character" w:styleId="GesichteterLink">
    <w:name w:val="FollowedHyperlink"/>
    <w:basedOn w:val="Absatzstandardschriftart"/>
    <w:uiPriority w:val="99"/>
    <w:semiHidden/>
    <w:unhideWhenUsed/>
    <w:rsid w:val="00544BA3"/>
    <w:rPr>
      <w:color w:val="800080" w:themeColor="followedHyperlink"/>
      <w:u w:val="single"/>
    </w:rPr>
  </w:style>
  <w:style w:type="character" w:customStyle="1" w:styleId="berschrift2Zeichen">
    <w:name w:val="Überschrift 2 Zeichen"/>
    <w:aliases w:val="Minor Zeichen"/>
    <w:basedOn w:val="Absatzstandardschriftart"/>
    <w:link w:val="berschrift2"/>
    <w:uiPriority w:val="9"/>
    <w:rsid w:val="006D208A"/>
    <w:rPr>
      <w:rFonts w:ascii="ScalaSans-BoldItalic" w:hAnsi="ScalaSans-BoldItalic"/>
      <w:sz w:val="24"/>
    </w:rPr>
  </w:style>
  <w:style w:type="character" w:customStyle="1" w:styleId="park-articlekicker">
    <w:name w:val="park-article__kicker"/>
    <w:basedOn w:val="Absatzstandardschriftart"/>
    <w:rsid w:val="006D208A"/>
  </w:style>
  <w:style w:type="character" w:customStyle="1" w:styleId="park-articleheadline">
    <w:name w:val="park-article__headline"/>
    <w:basedOn w:val="Absatzstandardschriftart"/>
    <w:rsid w:val="006D208A"/>
  </w:style>
  <w:style w:type="paragraph" w:customStyle="1" w:styleId="AAAMyriad">
    <w:name w:val="AAA.Myriad"/>
    <w:basedOn w:val="text"/>
    <w:qFormat/>
    <w:rsid w:val="006D208A"/>
    <w:pPr>
      <w:spacing w:line="360" w:lineRule="auto"/>
    </w:pPr>
    <w:rPr>
      <w:sz w:val="20"/>
    </w:rPr>
  </w:style>
  <w:style w:type="paragraph" w:styleId="Sprechblasentext">
    <w:name w:val="Balloon Text"/>
    <w:basedOn w:val="Standard"/>
    <w:link w:val="SprechblasentextZeichen"/>
    <w:uiPriority w:val="99"/>
    <w:semiHidden/>
    <w:unhideWhenUsed/>
    <w:rsid w:val="00BF6899"/>
    <w:pPr>
      <w:spacing w:before="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F68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2422729">
      <w:bodyDiv w:val="1"/>
      <w:marLeft w:val="0"/>
      <w:marRight w:val="0"/>
      <w:marTop w:val="0"/>
      <w:marBottom w:val="0"/>
      <w:divBdr>
        <w:top w:val="none" w:sz="0" w:space="0" w:color="auto"/>
        <w:left w:val="none" w:sz="0" w:space="0" w:color="auto"/>
        <w:bottom w:val="none" w:sz="0" w:space="0" w:color="auto"/>
        <w:right w:val="none" w:sz="0" w:space="0" w:color="auto"/>
      </w:divBdr>
      <w:divsChild>
        <w:div w:id="2033729276">
          <w:marLeft w:val="0"/>
          <w:marRight w:val="0"/>
          <w:marTop w:val="0"/>
          <w:marBottom w:val="0"/>
          <w:divBdr>
            <w:top w:val="none" w:sz="0" w:space="0" w:color="auto"/>
            <w:left w:val="none" w:sz="0" w:space="0" w:color="auto"/>
            <w:bottom w:val="none" w:sz="0" w:space="0" w:color="auto"/>
            <w:right w:val="none" w:sz="0" w:space="0" w:color="auto"/>
          </w:divBdr>
        </w:div>
      </w:divsChild>
    </w:div>
    <w:div w:id="1582105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zbv.de/urteil/irrefuehrende-werbung-mit-testurteil-bestes-moebelhaus" TargetMode="External"/><Relationship Id="rId6" Type="http://schemas.openxmlformats.org/officeDocument/2006/relationships/hyperlink" Target="https://rp-online.de/leben/ratgeber/verbraucher/wie-mit-testsiegeln-geld-verdient-wird_aid-1557005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6924</Characters>
  <Application>Microsoft Macintosh Word</Application>
  <DocSecurity>0</DocSecurity>
  <Lines>57</Lines>
  <Paragraphs>13</Paragraphs>
  <ScaleCrop>false</ScaleCrop>
  <HeadingPairs>
    <vt:vector size="2" baseType="variant">
      <vt:variant>
        <vt:lpstr>Titel</vt:lpstr>
      </vt:variant>
      <vt:variant>
        <vt:i4>1</vt:i4>
      </vt:variant>
    </vt:vector>
  </HeadingPairs>
  <TitlesOfParts>
    <vt:vector size="1" baseType="lpstr">
      <vt:lpstr/>
    </vt:vector>
  </TitlesOfParts>
  <Company>Kunze</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dc:creator>
  <cp:keywords/>
  <cp:lastModifiedBy>Claus</cp:lastModifiedBy>
  <cp:revision>16</cp:revision>
  <cp:lastPrinted>2019-09-26T09:48:00Z</cp:lastPrinted>
  <dcterms:created xsi:type="dcterms:W3CDTF">2019-09-26T09:49:00Z</dcterms:created>
  <dcterms:modified xsi:type="dcterms:W3CDTF">2019-10-01T07:16:00Z</dcterms:modified>
</cp:coreProperties>
</file>